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B71C4" w14:textId="2F5D0878" w:rsidR="006C6CEF" w:rsidRDefault="006C6CEF" w:rsidP="006C6CEF">
      <w:pPr>
        <w:pStyle w:val="CH"/>
      </w:pPr>
      <w:bookmarkStart w:id="0" w:name="historyclause"/>
      <w:r w:rsidRPr="00B070F5">
        <w:t xml:space="preserve">3GPP </w:t>
      </w:r>
      <w:r>
        <w:t>TSG-</w:t>
      </w:r>
      <w:r w:rsidRPr="00B070F5">
        <w:t>RAN</w:t>
      </w:r>
      <w:r>
        <w:t xml:space="preserve">4 </w:t>
      </w:r>
      <w:r w:rsidRPr="00B070F5">
        <w:t>Meeting #</w:t>
      </w:r>
      <w:r>
        <w:t>94-e</w:t>
      </w:r>
      <w:r>
        <w:tab/>
      </w:r>
      <w:r>
        <w:tab/>
      </w:r>
      <w:r w:rsidRPr="00BE2117">
        <w:t>R4-20000</w:t>
      </w:r>
      <w:r>
        <w:t>23</w:t>
      </w:r>
    </w:p>
    <w:p w14:paraId="50DC9730" w14:textId="59883CAD" w:rsidR="00D309CC" w:rsidRPr="00FD166F" w:rsidRDefault="006C6CEF" w:rsidP="006C6CEF">
      <w:pPr>
        <w:pStyle w:val="CH"/>
        <w:tabs>
          <w:tab w:val="clear" w:pos="7920"/>
        </w:tabs>
        <w:rPr>
          <w:b w:val="0"/>
        </w:rPr>
      </w:pPr>
      <w:r>
        <w:t>Online</w:t>
      </w:r>
      <w:r w:rsidRPr="00B070F5">
        <w:t xml:space="preserve">, </w:t>
      </w:r>
      <w:r>
        <w:t>24 February – 6 March,</w:t>
      </w:r>
      <w:r w:rsidRPr="00B070F5">
        <w:t xml:space="preserve"> 20</w:t>
      </w:r>
      <w:r>
        <w:t>20</w:t>
      </w:r>
    </w:p>
    <w:p w14:paraId="39A0EE25" w14:textId="77777777" w:rsidR="00D309CC" w:rsidRDefault="00D309CC" w:rsidP="00D309CC">
      <w:pPr>
        <w:tabs>
          <w:tab w:val="left" w:pos="2160"/>
        </w:tabs>
        <w:rPr>
          <w:rFonts w:ascii="Arial" w:hAnsi="Arial" w:cs="Arial"/>
          <w:b/>
        </w:rPr>
      </w:pPr>
    </w:p>
    <w:p w14:paraId="6DDCE159" w14:textId="36ECB4A5" w:rsidR="00D309CC" w:rsidRPr="0008103A" w:rsidRDefault="00D309CC" w:rsidP="00D309CC">
      <w:pPr>
        <w:pStyle w:val="CH"/>
        <w:rPr>
          <w:b w:val="0"/>
        </w:rPr>
      </w:pPr>
      <w:r w:rsidRPr="0008103A">
        <w:t>Agenda item:</w:t>
      </w:r>
      <w:r>
        <w:tab/>
      </w:r>
      <w:r w:rsidR="00C95C80" w:rsidRPr="00C95C80">
        <w:t>9.16.1</w:t>
      </w:r>
    </w:p>
    <w:p w14:paraId="4DBE005A" w14:textId="77777777" w:rsidR="00D309CC" w:rsidRPr="0008103A" w:rsidRDefault="00D309CC" w:rsidP="00D309CC">
      <w:pPr>
        <w:pStyle w:val="CH"/>
        <w:rPr>
          <w:b w:val="0"/>
        </w:rPr>
      </w:pPr>
      <w:r>
        <w:t>Source:</w:t>
      </w:r>
      <w:r>
        <w:tab/>
        <w:t>Apple Inc.</w:t>
      </w:r>
    </w:p>
    <w:p w14:paraId="0D2061A1" w14:textId="22472B08" w:rsidR="00D309CC" w:rsidRDefault="00D309CC" w:rsidP="00D309CC">
      <w:pPr>
        <w:pStyle w:val="CH"/>
      </w:pPr>
      <w:r w:rsidRPr="0008103A">
        <w:t>Title:</w:t>
      </w:r>
      <w:r w:rsidRPr="0008103A">
        <w:tab/>
      </w:r>
      <w:r w:rsidR="006047CB">
        <w:t>Multi-band framework</w:t>
      </w:r>
      <w:r w:rsidR="00CD651B" w:rsidRPr="00CD651B">
        <w:t xml:space="preserve"> for band n259</w:t>
      </w:r>
    </w:p>
    <w:p w14:paraId="052B1E0C" w14:textId="56E420B2" w:rsidR="00104BC6" w:rsidRDefault="00104BC6" w:rsidP="00D309CC">
      <w:pPr>
        <w:pStyle w:val="CH"/>
      </w:pPr>
      <w:r>
        <w:t>WI/SI:</w:t>
      </w:r>
      <w:r>
        <w:tab/>
      </w:r>
      <w:r w:rsidR="00CD651B" w:rsidRPr="00752075">
        <w:t>NR_n259-Core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495BBE7" w14:textId="51B97C64" w:rsidR="00CD651B" w:rsidRDefault="00CD651B" w:rsidP="00CD651B">
      <w:r>
        <w:t xml:space="preserve">The work item to introduce the new Band n259 </w:t>
      </w:r>
      <w:r>
        <w:fldChar w:fldCharType="begin"/>
      </w:r>
      <w:r>
        <w:instrText xml:space="preserve"> REF _Ref16511322 \r \h </w:instrText>
      </w:r>
      <w:r>
        <w:fldChar w:fldCharType="separate"/>
      </w:r>
      <w:r w:rsidR="00CA76D3">
        <w:t>[1]</w:t>
      </w:r>
      <w:r>
        <w:fldChar w:fldCharType="end"/>
      </w:r>
      <w:r>
        <w:t xml:space="preserve"> has reached the following agreements </w:t>
      </w:r>
      <w:r>
        <w:fldChar w:fldCharType="begin"/>
      </w:r>
      <w:r>
        <w:instrText xml:space="preserve"> REF _Ref16511618 \r \h </w:instrText>
      </w:r>
      <w:r>
        <w:fldChar w:fldCharType="separate"/>
      </w:r>
      <w:r w:rsidR="00CA76D3">
        <w:t>[2]</w:t>
      </w:r>
      <w:r>
        <w:fldChar w:fldCharType="end"/>
      </w:r>
      <w:r>
        <w:t>:</w:t>
      </w:r>
    </w:p>
    <w:p w14:paraId="53E5F5B9" w14:textId="77777777" w:rsidR="001D7EB1" w:rsidRDefault="001D7EB1" w:rsidP="00CD651B"/>
    <w:p w14:paraId="2F56919E" w14:textId="77777777"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Agreement:</w:t>
      </w:r>
    </w:p>
    <w:p w14:paraId="271D2840" w14:textId="77777777"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Band plan for n259 is 39.5GHz – 43.5GHz</w:t>
      </w:r>
    </w:p>
    <w:p w14:paraId="249DEE87" w14:textId="77777777"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 xml:space="preserve">Intra-band CA requirements shall apply for inter-band CA configurations between n260 and n259 including intra-band capabilities.   </w:t>
      </w:r>
    </w:p>
    <w:p w14:paraId="59D46B43" w14:textId="77777777"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 xml:space="preserve">Requirements for single band n259 and associated multiband requirements shall be agreed as a single CR pack for n259 WI. </w:t>
      </w:r>
    </w:p>
    <w:p w14:paraId="08C9E477" w14:textId="7018B3D8"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The scope of the multiband requirements shall be further discussed.</w:t>
      </w:r>
    </w:p>
    <w:p w14:paraId="43168357" w14:textId="77777777" w:rsidR="001D7EB1" w:rsidRDefault="001D7EB1" w:rsidP="008E7986"/>
    <w:p w14:paraId="71DD4D14" w14:textId="2D30C586" w:rsidR="00DE439B" w:rsidRDefault="00CD651B" w:rsidP="008E7986">
      <w:r>
        <w:t xml:space="preserve">According to the Rapporteur’s work plan </w:t>
      </w:r>
      <w:r>
        <w:fldChar w:fldCharType="begin"/>
      </w:r>
      <w:r>
        <w:instrText xml:space="preserve"> REF _Ref16511671 \r \h </w:instrText>
      </w:r>
      <w:r>
        <w:fldChar w:fldCharType="separate"/>
      </w:r>
      <w:r w:rsidR="00CA76D3">
        <w:t>[3]</w:t>
      </w:r>
      <w:r>
        <w:fldChar w:fldCharType="end"/>
      </w:r>
      <w:r>
        <w:t xml:space="preserve"> a suggested work plan refinement </w:t>
      </w:r>
      <w:r w:rsidR="00E2539D">
        <w:fldChar w:fldCharType="begin"/>
      </w:r>
      <w:r w:rsidR="00E2539D">
        <w:instrText xml:space="preserve"> REF _Ref16511683 \r \h </w:instrText>
      </w:r>
      <w:r w:rsidR="00E2539D">
        <w:fldChar w:fldCharType="separate"/>
      </w:r>
      <w:r w:rsidR="00CA76D3">
        <w:t>[4]</w:t>
      </w:r>
      <w:r w:rsidR="00E2539D">
        <w:fldChar w:fldCharType="end"/>
      </w:r>
      <w:r w:rsidR="00E2539D">
        <w:t xml:space="preserve">, the work on deriving multi-band requirements for band n259 has progressed during the RAN4 #92 meeting with the following agreements </w:t>
      </w:r>
      <w:r w:rsidR="00E2539D">
        <w:fldChar w:fldCharType="begin"/>
      </w:r>
      <w:r w:rsidR="00E2539D">
        <w:instrText xml:space="preserve"> REF _Ref20817356 \r \h </w:instrText>
      </w:r>
      <w:r w:rsidR="00E2539D">
        <w:fldChar w:fldCharType="separate"/>
      </w:r>
      <w:r w:rsidR="00CA76D3">
        <w:t>[5]</w:t>
      </w:r>
      <w:r w:rsidR="00E2539D">
        <w:fldChar w:fldCharType="end"/>
      </w:r>
      <w:r w:rsidR="00E2539D">
        <w:t>:</w:t>
      </w:r>
    </w:p>
    <w:p w14:paraId="3ADC36D8" w14:textId="77777777" w:rsidR="001D7EB1" w:rsidRDefault="001D7EB1" w:rsidP="008E7986"/>
    <w:p w14:paraId="096363CD" w14:textId="37E1A9A7"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WF</w:t>
      </w:r>
    </w:p>
    <w:p w14:paraId="39382716" w14:textId="77777777"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To define the maximum output power and Refsens OTA requirements for n259, companies are encouraged to provide the link budget parameters for Tx and Rx in the next meeting according to the tables in the WF.</w:t>
      </w:r>
    </w:p>
    <w:p w14:paraId="3A403808" w14:textId="77777777"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PC3 is considered as the highest priority</w:t>
      </w:r>
    </w:p>
    <w:p w14:paraId="0C573A47" w14:textId="70E15B4D"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For the analysis and simulations, packaging environment shall be considered (plastic, glass)</w:t>
      </w:r>
    </w:p>
    <w:p w14:paraId="107884A6" w14:textId="3885C446"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Multi-band relaxation</w:t>
      </w:r>
    </w:p>
    <w:p w14:paraId="141FF62A" w14:textId="4751F97D"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r>
      <w:r w:rsidRPr="00DE439B">
        <w:t>Companies are encouraged to submit analysis on multiband relaxations for band configurations including n259 with respect to provided parameters in the previous slide.</w:t>
      </w:r>
    </w:p>
    <w:p w14:paraId="702BD519" w14:textId="77777777" w:rsidR="001D7EB1" w:rsidRDefault="001D7EB1" w:rsidP="008E7986"/>
    <w:p w14:paraId="06E92CC7" w14:textId="5C9B035C" w:rsidR="008E7986" w:rsidRDefault="00F8596B" w:rsidP="008E7986">
      <w:r>
        <w:t>According to the</w:t>
      </w:r>
      <w:r w:rsidR="00DE439B">
        <w:t xml:space="preserve"> WF in </w:t>
      </w:r>
      <w:r w:rsidR="00DE439B">
        <w:fldChar w:fldCharType="begin"/>
      </w:r>
      <w:r w:rsidR="00DE439B">
        <w:instrText xml:space="preserve"> REF _Ref20817356 \r \h </w:instrText>
      </w:r>
      <w:r w:rsidR="00DE439B">
        <w:fldChar w:fldCharType="separate"/>
      </w:r>
      <w:r w:rsidR="00CA76D3">
        <w:t>[5]</w:t>
      </w:r>
      <w:r w:rsidR="00DE439B">
        <w:fldChar w:fldCharType="end"/>
      </w:r>
      <w:r>
        <w:t xml:space="preserve">, </w:t>
      </w:r>
      <w:r w:rsidR="005B0263">
        <w:t xml:space="preserve">the single band peak EIRP and REFSENS values were agreed in </w:t>
      </w:r>
      <w:r w:rsidR="005B0263">
        <w:fldChar w:fldCharType="begin"/>
      </w:r>
      <w:r w:rsidR="005B0263">
        <w:instrText xml:space="preserve"> REF _Ref23751179 \r \h </w:instrText>
      </w:r>
      <w:r w:rsidR="005B0263">
        <w:fldChar w:fldCharType="separate"/>
      </w:r>
      <w:r w:rsidR="00CA76D3">
        <w:t>[6]</w:t>
      </w:r>
      <w:r w:rsidR="005B0263">
        <w:fldChar w:fldCharType="end"/>
      </w:r>
      <w:r w:rsidR="005B0263">
        <w:t>:</w:t>
      </w:r>
    </w:p>
    <w:p w14:paraId="41DCD430" w14:textId="77777777" w:rsidR="001D7EB1" w:rsidRDefault="001D7EB1" w:rsidP="008E7986"/>
    <w:p w14:paraId="2E9F99CA" w14:textId="1DBE912C" w:rsidR="005B0263" w:rsidRDefault="005B0263" w:rsidP="001D7EB1">
      <w:pPr>
        <w:pStyle w:val="B1"/>
        <w:pBdr>
          <w:top w:val="single" w:sz="4" w:space="1" w:color="auto"/>
          <w:left w:val="single" w:sz="4" w:space="4" w:color="auto"/>
          <w:bottom w:val="single" w:sz="4" w:space="1" w:color="auto"/>
          <w:right w:val="single" w:sz="4" w:space="4" w:color="auto"/>
        </w:pBdr>
        <w:spacing w:after="0"/>
        <w:ind w:left="576" w:hanging="288"/>
      </w:pPr>
      <w:r>
        <w:t>Way Forward</w:t>
      </w:r>
    </w:p>
    <w:p w14:paraId="40B71F36" w14:textId="77777777" w:rsidR="005B0263" w:rsidRDefault="005B0263"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Based on inputs from [1]-[6], averaging method is proposed to define the PC3 minimum peak EIRP, EIS requirements for n259:</w:t>
      </w:r>
    </w:p>
    <w:p w14:paraId="63AA705D" w14:textId="43065748" w:rsidR="005B0263" w:rsidRDefault="005B0263" w:rsidP="001D7EB1">
      <w:pPr>
        <w:pStyle w:val="B1"/>
        <w:pBdr>
          <w:top w:val="single" w:sz="4" w:space="1" w:color="auto"/>
          <w:left w:val="single" w:sz="4" w:space="4" w:color="auto"/>
          <w:bottom w:val="single" w:sz="4" w:space="1" w:color="auto"/>
          <w:right w:val="single" w:sz="4" w:space="4" w:color="auto"/>
        </w:pBdr>
        <w:spacing w:after="0"/>
        <w:ind w:left="576" w:hanging="288"/>
      </w:pPr>
      <w:r>
        <w:tab/>
        <w:t>-</w:t>
      </w:r>
      <w:r>
        <w:tab/>
        <w:t>Minimum peak EIRP: 18.7dBm</w:t>
      </w:r>
    </w:p>
    <w:p w14:paraId="724D0B6A" w14:textId="06A55766" w:rsidR="005B0263" w:rsidRDefault="005B0263" w:rsidP="001D7EB1">
      <w:pPr>
        <w:pStyle w:val="B1"/>
        <w:pBdr>
          <w:top w:val="single" w:sz="4" w:space="1" w:color="auto"/>
          <w:left w:val="single" w:sz="4" w:space="4" w:color="auto"/>
          <w:bottom w:val="single" w:sz="4" w:space="1" w:color="auto"/>
          <w:right w:val="single" w:sz="4" w:space="4" w:color="auto"/>
        </w:pBdr>
        <w:spacing w:after="0"/>
        <w:ind w:left="576" w:hanging="288"/>
      </w:pPr>
      <w:r>
        <w:tab/>
        <w:t>-</w:t>
      </w:r>
      <w:r>
        <w:tab/>
        <w:t>Minimum peak EIS: -84.7dBm/50MHz</w:t>
      </w:r>
    </w:p>
    <w:p w14:paraId="74925E3A" w14:textId="77777777" w:rsidR="001D7EB1" w:rsidRDefault="001D7EB1" w:rsidP="008E7986">
      <w:pPr>
        <w:rPr>
          <w:lang w:val="en-GB"/>
        </w:rPr>
      </w:pPr>
    </w:p>
    <w:p w14:paraId="09E02749" w14:textId="663E06A9" w:rsidR="006047CB" w:rsidRDefault="00B57BD6" w:rsidP="008E7986">
      <w:r>
        <w:t xml:space="preserve">It is anticipated that the single band spherical coverage requirements for EIRP and EIS can be agreed during the RAN4 #93 meeting.  At least our views on this topic are provided in </w:t>
      </w:r>
      <w:r>
        <w:fldChar w:fldCharType="begin"/>
      </w:r>
      <w:r>
        <w:instrText xml:space="preserve"> REF _Ref23753871 \r \h </w:instrText>
      </w:r>
      <w:r>
        <w:fldChar w:fldCharType="separate"/>
      </w:r>
      <w:r w:rsidR="00CA76D3">
        <w:t>[7]</w:t>
      </w:r>
      <w:r>
        <w:fldChar w:fldCharType="end"/>
      </w:r>
      <w:r>
        <w:t>.</w:t>
      </w:r>
    </w:p>
    <w:p w14:paraId="008F6023" w14:textId="45EC7267" w:rsidR="00A35167" w:rsidRDefault="009F6942" w:rsidP="008E7986">
      <w:r>
        <w:t xml:space="preserve">The FR2 RF specification defines the multi-band requirement framework as follows </w:t>
      </w:r>
      <w:r>
        <w:fldChar w:fldCharType="begin"/>
      </w:r>
      <w:r>
        <w:instrText xml:space="preserve"> REF _Ref20820375 \r \h </w:instrText>
      </w:r>
      <w:r>
        <w:fldChar w:fldCharType="separate"/>
      </w:r>
      <w:r w:rsidR="00CA76D3">
        <w:t>[8]</w:t>
      </w:r>
      <w:r>
        <w:fldChar w:fldCharType="end"/>
      </w:r>
      <w:r>
        <w:t>:</w:t>
      </w:r>
    </w:p>
    <w:p w14:paraId="0670C48A" w14:textId="0A5DC6DB" w:rsidR="009F6942" w:rsidRDefault="009F6942" w:rsidP="008E7986">
      <w:r>
        <w:rPr>
          <w:noProof/>
        </w:rPr>
        <w:lastRenderedPageBreak/>
        <mc:AlternateContent>
          <mc:Choice Requires="wps">
            <w:drawing>
              <wp:inline distT="0" distB="0" distL="0" distR="0" wp14:anchorId="4AA26EFD" wp14:editId="21875D90">
                <wp:extent cx="1828800" cy="3048000"/>
                <wp:effectExtent l="0" t="0" r="18415" b="12700"/>
                <wp:docPr id="1" name="Text Box 1"/>
                <wp:cNvGraphicFramePr/>
                <a:graphic xmlns:a="http://schemas.openxmlformats.org/drawingml/2006/main">
                  <a:graphicData uri="http://schemas.microsoft.com/office/word/2010/wordprocessingShape">
                    <wps:wsp>
                      <wps:cNvSpPr txBox="1"/>
                      <wps:spPr>
                        <a:xfrm>
                          <a:off x="0" y="0"/>
                          <a:ext cx="1828800" cy="3048000"/>
                        </a:xfrm>
                        <a:prstGeom prst="rect">
                          <a:avLst/>
                        </a:prstGeom>
                        <a:noFill/>
                        <a:ln w="6350">
                          <a:solidFill>
                            <a:prstClr val="black"/>
                          </a:solidFill>
                        </a:ln>
                      </wps:spPr>
                      <wps:txb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A26EFD" id="_x0000_t202" coordsize="21600,21600" o:spt="202" path="m,l,21600r21600,l21600,xe">
                <v:stroke joinstyle="miter"/>
                <v:path gradientshapeok="t" o:connecttype="rect"/>
              </v:shapetype>
              <v:shape id="Text Box 1" o:spid="_x0000_s1026" type="#_x0000_t202" style="width:2in;height:24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avSWPQIAAHgEAAAOAAAAZHJzL2Uyb0RvYy54bWysVMFu2zAMvQ/YPwi6r3bStMuCOEWWosOA&#13;&#10;oi3QDj0rspwYk0VBUmJnX78n2UmDbqdhF5kinyjxPdLzm67RbK+cr8kUfHSRc6aMpLI2m4L/eLn7&#13;&#10;NOXMB2FKocmogh+U5zeLjx/mrZ2pMW1Jl8oxJDF+1tqCb0Owsyzzcqsa4S/IKoNgRa4RAVu3yUon&#13;&#10;WmRvdDbO8+usJVdaR1J5D+9tH+SLlL+qlAyPVeVVYLrgeFtIq0vrOq7ZYi5mGyfstpbDM8Q/vKIR&#13;&#10;tcGlp1S3Igi2c/UfqZpaOvJUhQtJTUZVVUuVakA1o/xdNc9bYVWqBeR4e6LJ/7+08mH/5FhdQjvO&#13;&#10;jGgg0YvqAvtKHRtFdlrrZwA9W8BCB3dEDn4PZyy6q1wTvyiHIQ6eDyduYzIZD03H02mOkETsMp/A&#13;&#10;Tuxnb8et8+GbooZFo+AO4iVOxf7eB1wJ6BESbzN0V2udBNSGtQW/vrzK0wFPui5jMMLikZV2bC/Q&#13;&#10;Amst5M/4fOQ6Q2GnDZyx2L6oaIVu3Q2Vrqk8gABHfQN5K+9q5L0XPjwJh45BYZiC8Iil0oTH0GBx&#13;&#10;tiX362/+iIeQiHLWogMLbjAinOnvBgJ/GU0msWHTZnL1eYyNO4+szyNm16wI9UFEvC2ZER/00awc&#13;&#10;Na8YlWW8EyFhJG4ueDiaq9BPBUZNquUygdCiVoR782xlTH1k86V7Fc4OKgUI/EDHThWzd2L12F6u&#13;&#10;5S5QVSclI709pwPraO8kyjCKcX7O9wn19sNY/AYAAP//AwBQSwMEFAAGAAgAAAAhAP/ODbLfAAAA&#13;&#10;CgEAAA8AAABkcnMvZG93bnJldi54bWxMj0FLw0AQhe+C/2EZwYvYXUsJIc2mtIp4EaXRQo/bZMyG&#13;&#10;ZmdDdpvGf+/opV4ePB7z5n35anKdGHEIrScNDzMFAqnydUuNhs+P5/sURIiGatN5Qg3fGGBVXF/l&#13;&#10;Jqv9mbY4lrERXEIhMxpsjH0mZagsOhNmvkfi7MsPzkS2QyPrwZy53HVyrlQinWmJP1jT46PF6lie&#13;&#10;nIZN8/I+7sb9pkyStX29W0zHN7XV+vZmelqyrJcgIk7xcgG/DLwfCh528Ceqg+g0ME38U87macr2&#13;&#10;oGGRKgWyyOV/hOIHAAD//wMAUEsBAi0AFAAGAAgAAAAhALaDOJL+AAAA4QEAABMAAAAAAAAAAAAA&#13;&#10;AAAAAAAAAFtDb250ZW50X1R5cGVzXS54bWxQSwECLQAUAAYACAAAACEAOP0h/9YAAACUAQAACwAA&#13;&#10;AAAAAAAAAAAAAAAvAQAAX3JlbHMvLnJlbHNQSwECLQAUAAYACAAAACEANWr0lj0CAAB4BAAADgAA&#13;&#10;AAAAAAAAAAAAAAAuAgAAZHJzL2Uyb0RvYy54bWxQSwECLQAUAAYACAAAACEA/84Nst8AAAAKAQAA&#13;&#10;DwAAAAAAAAAAAAAAAACXBAAAZHJzL2Rvd25yZXYueG1sUEsFBgAAAAAEAAQA8wAAAKMFAAAAAA==&#13;&#10;" filled="f" strokeweight=".5pt">
                <v:textbo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v:textbox>
                <w10:anchorlock/>
              </v:shape>
            </w:pict>
          </mc:Fallback>
        </mc:AlternateContent>
      </w:r>
    </w:p>
    <w:p w14:paraId="62DE06C2" w14:textId="77777777" w:rsidR="001D7EB1" w:rsidRDefault="001D7EB1" w:rsidP="008E7986"/>
    <w:p w14:paraId="6BC29245" w14:textId="5935904A" w:rsidR="00D326E6" w:rsidRDefault="009F6942" w:rsidP="008E7986">
      <w:r>
        <w:t>In order to compile the full package of requirements for band n259 (including single band and multi-band), the multi-band framework needs to be enhanced to include band n259.</w:t>
      </w:r>
      <w:r w:rsidR="001D7EB1">
        <w:t xml:space="preserve">  </w:t>
      </w:r>
      <w:bookmarkStart w:id="1" w:name="_GoBack"/>
      <w:bookmarkEnd w:id="1"/>
      <w:r w:rsidR="00D326E6">
        <w:t xml:space="preserve">This contribution provides </w:t>
      </w:r>
      <w:r w:rsidR="00B57BD6">
        <w:t>our proposals to extend the multi-band requirement framework to include</w:t>
      </w:r>
      <w:r w:rsidR="00D326E6">
        <w:t xml:space="preserve"> band n259.</w:t>
      </w:r>
    </w:p>
    <w:p w14:paraId="3A67921B" w14:textId="56CE6A61" w:rsidR="008E7986" w:rsidRDefault="008E7986" w:rsidP="008E7986">
      <w:pPr>
        <w:pStyle w:val="Heading1"/>
      </w:pPr>
      <w:r>
        <w:t>2</w:t>
      </w:r>
      <w:r>
        <w:tab/>
      </w:r>
      <w:r w:rsidR="00D27EF9">
        <w:t>Discussion</w:t>
      </w:r>
      <w:r>
        <w:t xml:space="preserve"> </w:t>
      </w:r>
    </w:p>
    <w:p w14:paraId="7835BCED" w14:textId="1DD3BFB5" w:rsidR="0019395F" w:rsidRDefault="0011763D" w:rsidP="0019395F">
      <w:r>
        <w:t xml:space="preserve">The definition of the multi-band framework in Rel-15 proceeded in two steps:  collection of performance data comparing single band and multi-band performance, as documented in </w:t>
      </w:r>
      <w:r>
        <w:fldChar w:fldCharType="begin"/>
      </w:r>
      <w:r>
        <w:instrText xml:space="preserve"> REF _Ref23768708 \r \h </w:instrText>
      </w:r>
      <w:r>
        <w:fldChar w:fldCharType="separate"/>
      </w:r>
      <w:r w:rsidR="00CA76D3">
        <w:t>[9]</w:t>
      </w:r>
      <w:r>
        <w:fldChar w:fldCharType="end"/>
      </w:r>
      <w:r>
        <w:t xml:space="preserve">, and the definition of </w:t>
      </w:r>
      <w:r w:rsidRPr="00446013">
        <w:t>∑MB</w:t>
      </w:r>
      <w:r w:rsidRPr="00446013">
        <w:rPr>
          <w:vertAlign w:val="subscript"/>
        </w:rPr>
        <w:t>P</w:t>
      </w:r>
      <w:r>
        <w:t xml:space="preserve">, </w:t>
      </w:r>
      <w:r w:rsidRPr="00446013">
        <w:t>ΔMB</w:t>
      </w:r>
      <w:r>
        <w:rPr>
          <w:vertAlign w:val="subscript"/>
        </w:rPr>
        <w:t>P,n</w:t>
      </w:r>
      <w:r>
        <w:t xml:space="preserve">, </w:t>
      </w:r>
      <w:r w:rsidRPr="00446013">
        <w:t>∑MB</w:t>
      </w:r>
      <w:r>
        <w:rPr>
          <w:vertAlign w:val="subscript"/>
        </w:rPr>
        <w:t>S</w:t>
      </w:r>
      <w:r>
        <w:t>,</w:t>
      </w:r>
      <w:r w:rsidRPr="00446013">
        <w:t xml:space="preserve"> ΔMB</w:t>
      </w:r>
      <w:r w:rsidRPr="00446013">
        <w:rPr>
          <w:vertAlign w:val="subscript"/>
        </w:rPr>
        <w:t>S</w:t>
      </w:r>
      <w:r>
        <w:rPr>
          <w:vertAlign w:val="subscript"/>
        </w:rPr>
        <w:t>,n</w:t>
      </w:r>
      <w:r>
        <w:t xml:space="preserve"> terms </w:t>
      </w:r>
      <w:r>
        <w:fldChar w:fldCharType="begin"/>
      </w:r>
      <w:r>
        <w:instrText xml:space="preserve"> REF _Ref23768853 \r \h </w:instrText>
      </w:r>
      <w:r>
        <w:fldChar w:fldCharType="separate"/>
      </w:r>
      <w:r w:rsidR="00CA76D3">
        <w:t>[11]</w:t>
      </w:r>
      <w:r>
        <w:fldChar w:fldCharType="end"/>
      </w:r>
      <w:r w:rsidR="007A2935">
        <w:t xml:space="preserve"> (also provided as an excerpt below).</w:t>
      </w:r>
    </w:p>
    <w:p w14:paraId="03EAE08E" w14:textId="095EB60D" w:rsidR="0011763D" w:rsidRPr="007B247B" w:rsidRDefault="007B247B" w:rsidP="0019395F">
      <w:r>
        <w:rPr>
          <w:noProof/>
        </w:rPr>
        <w:lastRenderedPageBreak/>
        <mc:AlternateContent>
          <mc:Choice Requires="wps">
            <w:drawing>
              <wp:inline distT="0" distB="0" distL="0" distR="0" wp14:anchorId="117ABBCF" wp14:editId="5505C6B2">
                <wp:extent cx="1828800" cy="1828800"/>
                <wp:effectExtent l="0" t="0" r="18415" b="1778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7ABBCF"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textbox style="mso-fit-shape-to-text:t">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v:textbox>
                <w10:anchorlock/>
              </v:shape>
            </w:pict>
          </mc:Fallback>
        </mc:AlternateContent>
      </w:r>
    </w:p>
    <w:p w14:paraId="2D759808" w14:textId="77777777" w:rsidR="00FA41D2" w:rsidRDefault="00FA41D2" w:rsidP="00044D7C"/>
    <w:p w14:paraId="4264AF1F" w14:textId="3D7F8D21" w:rsidR="007A2935" w:rsidRDefault="007A2935" w:rsidP="00044D7C">
      <w:r>
        <w:t xml:space="preserve">The </w:t>
      </w:r>
      <w:r w:rsidR="00FA41D2">
        <w:t xml:space="preserve">Rel-15 </w:t>
      </w:r>
      <w:r>
        <w:t>specification reflects the following general framework for defining the spherical coverage multi-band factors:</w:t>
      </w:r>
    </w:p>
    <w:p w14:paraId="25D6382E" w14:textId="77777777" w:rsidR="001B1F24" w:rsidRDefault="001B1F24" w:rsidP="00044D7C"/>
    <w:p w14:paraId="2D650D6A" w14:textId="5E268BB7" w:rsidR="007A2935" w:rsidRPr="001B1F24" w:rsidRDefault="007A2935" w:rsidP="007A2935">
      <w:pPr>
        <w:pStyle w:val="B1"/>
        <w:rPr>
          <w:sz w:val="24"/>
          <w:szCs w:val="24"/>
        </w:rPr>
      </w:pPr>
      <w:r w:rsidRPr="001B1F24">
        <w:rPr>
          <w:sz w:val="24"/>
          <w:szCs w:val="24"/>
        </w:rPr>
        <w:t>-</w:t>
      </w:r>
      <w:r w:rsidRPr="001B1F24">
        <w:rPr>
          <w:sz w:val="24"/>
          <w:szCs w:val="24"/>
        </w:rPr>
        <w:tab/>
        <w:t>∑MB</w:t>
      </w:r>
      <w:r w:rsidRPr="001B1F24">
        <w:rPr>
          <w:sz w:val="24"/>
          <w:szCs w:val="24"/>
          <w:vertAlign w:val="subscript"/>
        </w:rPr>
        <w:t>S</w:t>
      </w:r>
      <w:r w:rsidRPr="001B1F24">
        <w:rPr>
          <w:sz w:val="24"/>
          <w:szCs w:val="24"/>
        </w:rPr>
        <w:t xml:space="preserve"> = N*0.5 + 0.25 dB, where N corresponds to the total number of bands in the combination and excludes band n260 (N-1 in the case n260 is supported)</w:t>
      </w:r>
    </w:p>
    <w:p w14:paraId="07CAD129" w14:textId="24650D1D" w:rsidR="007A2935" w:rsidRDefault="007A2935" w:rsidP="00E84623">
      <w:pPr>
        <w:pStyle w:val="B1"/>
        <w:rPr>
          <w:sz w:val="24"/>
          <w:szCs w:val="24"/>
        </w:rPr>
      </w:pPr>
      <w:r w:rsidRPr="001B1F24">
        <w:rPr>
          <w:sz w:val="24"/>
          <w:szCs w:val="24"/>
        </w:rPr>
        <w:t>-</w:t>
      </w:r>
      <w:r w:rsidRPr="001B1F24">
        <w:rPr>
          <w:sz w:val="24"/>
          <w:szCs w:val="24"/>
        </w:rPr>
        <w:tab/>
        <w:t>∑MB</w:t>
      </w:r>
      <w:r w:rsidR="0028110F" w:rsidRPr="001B1F24">
        <w:rPr>
          <w:sz w:val="24"/>
          <w:szCs w:val="24"/>
          <w:vertAlign w:val="subscript"/>
        </w:rPr>
        <w:t>P</w:t>
      </w:r>
      <w:r w:rsidRPr="001B1F24">
        <w:rPr>
          <w:sz w:val="24"/>
          <w:szCs w:val="24"/>
        </w:rPr>
        <w:t xml:space="preserve"> </w:t>
      </w:r>
      <w:r w:rsidR="0028110F" w:rsidRPr="001B1F24">
        <w:rPr>
          <w:sz w:val="24"/>
          <w:szCs w:val="24"/>
        </w:rPr>
        <w:t xml:space="preserve">= N*0.5 + </w:t>
      </w:r>
      <w:r w:rsidR="00E84623" w:rsidRPr="001B1F24">
        <w:rPr>
          <w:sz w:val="24"/>
          <w:szCs w:val="24"/>
        </w:rPr>
        <w:t>∆</w:t>
      </w:r>
      <w:r w:rsidR="00E84623" w:rsidRPr="001B1F24">
        <w:rPr>
          <w:sz w:val="24"/>
          <w:szCs w:val="24"/>
          <w:vertAlign w:val="subscript"/>
        </w:rPr>
        <w:t>PS</w:t>
      </w:r>
      <w:r w:rsidR="00E84623" w:rsidRPr="001B1F24">
        <w:rPr>
          <w:sz w:val="24"/>
          <w:szCs w:val="24"/>
        </w:rPr>
        <w:t>, where ∆</w:t>
      </w:r>
      <w:r w:rsidR="00E84623" w:rsidRPr="001B1F24">
        <w:rPr>
          <w:sz w:val="24"/>
          <w:szCs w:val="24"/>
          <w:vertAlign w:val="subscript"/>
        </w:rPr>
        <w:t>PS</w:t>
      </w:r>
      <w:r w:rsidR="00E84623" w:rsidRPr="001B1F24">
        <w:rPr>
          <w:sz w:val="24"/>
          <w:szCs w:val="24"/>
        </w:rPr>
        <w:t xml:space="preserve"> is the calculated difference between the average peak relaxation and the average spherical coverage relaxation from the summarized data in </w:t>
      </w:r>
      <w:r w:rsidRPr="001B1F24">
        <w:rPr>
          <w:sz w:val="24"/>
          <w:szCs w:val="24"/>
        </w:rPr>
        <w:fldChar w:fldCharType="begin"/>
      </w:r>
      <w:r w:rsidRPr="001B1F24">
        <w:rPr>
          <w:sz w:val="24"/>
          <w:szCs w:val="24"/>
        </w:rPr>
        <w:instrText xml:space="preserve"> REF _Ref23769506 \r \h </w:instrText>
      </w:r>
      <w:r w:rsidR="001B1F24">
        <w:rPr>
          <w:sz w:val="24"/>
          <w:szCs w:val="24"/>
        </w:rPr>
        <w:instrText xml:space="preserve"> \* MERGEFORMAT </w:instrText>
      </w:r>
      <w:r w:rsidRPr="001B1F24">
        <w:rPr>
          <w:sz w:val="24"/>
          <w:szCs w:val="24"/>
        </w:rPr>
      </w:r>
      <w:r w:rsidRPr="001B1F24">
        <w:rPr>
          <w:sz w:val="24"/>
          <w:szCs w:val="24"/>
        </w:rPr>
        <w:fldChar w:fldCharType="separate"/>
      </w:r>
      <w:r w:rsidR="00CA76D3">
        <w:rPr>
          <w:sz w:val="24"/>
          <w:szCs w:val="24"/>
        </w:rPr>
        <w:t>[10]</w:t>
      </w:r>
      <w:r w:rsidRPr="001B1F24">
        <w:rPr>
          <w:sz w:val="24"/>
          <w:szCs w:val="24"/>
        </w:rPr>
        <w:fldChar w:fldCharType="end"/>
      </w:r>
    </w:p>
    <w:p w14:paraId="7A6E594E" w14:textId="22F8D321" w:rsidR="00FA41D2" w:rsidRPr="001B1F24" w:rsidRDefault="00FA41D2" w:rsidP="00E84623">
      <w:pPr>
        <w:pStyle w:val="B1"/>
        <w:rPr>
          <w:sz w:val="24"/>
          <w:szCs w:val="24"/>
        </w:rPr>
      </w:pPr>
      <w:r>
        <w:rPr>
          <w:sz w:val="24"/>
          <w:szCs w:val="24"/>
        </w:rPr>
        <w:t>-</w:t>
      </w:r>
      <w:r>
        <w:rPr>
          <w:sz w:val="24"/>
          <w:szCs w:val="24"/>
        </w:rPr>
        <w:tab/>
        <w:t>The related notes identify exceptions to this rule</w:t>
      </w:r>
      <w:r w:rsidR="00CA76D3">
        <w:rPr>
          <w:sz w:val="24"/>
          <w:szCs w:val="24"/>
        </w:rPr>
        <w:t xml:space="preserve"> for certain bands, and no multi-band relaxations are defined for the case of n257</w:t>
      </w:r>
      <w:r w:rsidR="00714EA5">
        <w:rPr>
          <w:sz w:val="24"/>
          <w:szCs w:val="24"/>
        </w:rPr>
        <w:t xml:space="preserve"> +</w:t>
      </w:r>
      <w:r w:rsidR="00CA76D3">
        <w:rPr>
          <w:sz w:val="24"/>
          <w:szCs w:val="24"/>
        </w:rPr>
        <w:t xml:space="preserve"> n261, since n261 is a subset of n257</w:t>
      </w:r>
      <w:r>
        <w:rPr>
          <w:sz w:val="24"/>
          <w:szCs w:val="24"/>
        </w:rPr>
        <w:t xml:space="preserve"> </w:t>
      </w:r>
    </w:p>
    <w:p w14:paraId="5600CEB1" w14:textId="1666FD91" w:rsidR="00184673" w:rsidRDefault="00363EC4" w:rsidP="00184673">
      <w:r>
        <w:t>Table 1 below provides the calculations of multi-band factors in the Rel-15 version of the specification for reference.</w:t>
      </w:r>
    </w:p>
    <w:p w14:paraId="081A6757" w14:textId="77777777" w:rsidR="00F10FE8" w:rsidRDefault="00F10FE8" w:rsidP="00184673"/>
    <w:p w14:paraId="61B01E3F" w14:textId="540F54DF" w:rsidR="00184673" w:rsidRDefault="00184673" w:rsidP="00184673">
      <w:pPr>
        <w:pStyle w:val="TAH"/>
      </w:pPr>
      <w:r>
        <w:lastRenderedPageBreak/>
        <w:t xml:space="preserve">Table 1: </w:t>
      </w:r>
      <w:r w:rsidR="00057B9D">
        <w:t>Calculation of multi-band factors in Rel-15 (for reference)</w:t>
      </w:r>
    </w:p>
    <w:tbl>
      <w:tblPr>
        <w:tblW w:w="0" w:type="auto"/>
        <w:jc w:val="center"/>
        <w:tblCellMar>
          <w:left w:w="0" w:type="dxa"/>
          <w:right w:w="0" w:type="dxa"/>
        </w:tblCellMar>
        <w:tblLook w:val="04A0" w:firstRow="1" w:lastRow="0" w:firstColumn="1" w:lastColumn="0" w:noHBand="0" w:noVBand="1"/>
      </w:tblPr>
      <w:tblGrid>
        <w:gridCol w:w="2010"/>
        <w:gridCol w:w="2601"/>
        <w:gridCol w:w="735"/>
        <w:gridCol w:w="735"/>
        <w:gridCol w:w="735"/>
        <w:gridCol w:w="735"/>
      </w:tblGrid>
      <w:tr w:rsidR="00184673" w:rsidRPr="00184673" w14:paraId="5561510A" w14:textId="77777777" w:rsidTr="00184673">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5E935361"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Supported bands</w:t>
            </w:r>
          </w:p>
        </w:tc>
        <w:tc>
          <w:tcPr>
            <w:tcW w:w="2601" w:type="dxa"/>
            <w:tcBorders>
              <w:top w:val="single" w:sz="6" w:space="0" w:color="BFBFBF"/>
              <w:left w:val="single" w:sz="6" w:space="0" w:color="BFBFBF"/>
              <w:bottom w:val="single" w:sz="6" w:space="0" w:color="BFBFBF"/>
              <w:right w:val="single" w:sz="6" w:space="0" w:color="BFBFBF"/>
            </w:tcBorders>
            <w:vAlign w:val="center"/>
            <w:hideMark/>
          </w:tcPr>
          <w:p w14:paraId="54F2A400" w14:textId="72846454"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Peak - spherical adjustment</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7B8A8630"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0C4AD8C0"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0.5*N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2E69F439" w14:textId="77777777" w:rsidR="00184673" w:rsidRPr="00184673" w:rsidRDefault="00184673" w:rsidP="00184673">
            <w:pPr>
              <w:spacing w:after="135"/>
              <w:jc w:val="center"/>
              <w:rPr>
                <w:rFonts w:ascii="Arial" w:hAnsi="Arial" w:cs="Arial"/>
                <w:sz w:val="18"/>
                <w:szCs w:val="18"/>
              </w:rPr>
            </w:pPr>
            <w:r w:rsidRPr="00184673">
              <w:rPr>
                <w:rFonts w:ascii="Arial" w:hAnsi="Arial" w:cs="Arial"/>
                <w:b/>
                <w:bCs/>
                <w:color w:val="000000"/>
                <w:sz w:val="18"/>
                <w:szCs w:val="18"/>
              </w:rPr>
              <w:t>∑MB</w:t>
            </w:r>
            <w:r w:rsidRPr="00184673">
              <w:rPr>
                <w:rFonts w:ascii="Arial" w:hAnsi="Arial" w:cs="Arial"/>
                <w:b/>
                <w:bCs/>
                <w:color w:val="000000"/>
                <w:sz w:val="18"/>
                <w:szCs w:val="18"/>
                <w:vertAlign w:val="subscript"/>
              </w:rPr>
              <w:t>P</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31CB0A92" w14:textId="77777777" w:rsidR="00184673" w:rsidRPr="00184673" w:rsidRDefault="00184673" w:rsidP="00184673">
            <w:pPr>
              <w:spacing w:after="135"/>
              <w:jc w:val="center"/>
              <w:rPr>
                <w:rFonts w:ascii="Arial" w:hAnsi="Arial" w:cs="Arial"/>
                <w:sz w:val="18"/>
                <w:szCs w:val="18"/>
              </w:rPr>
            </w:pPr>
            <w:r w:rsidRPr="00184673">
              <w:rPr>
                <w:rFonts w:ascii="Arial" w:hAnsi="Arial" w:cs="Arial"/>
                <w:b/>
                <w:bCs/>
                <w:color w:val="000000"/>
                <w:sz w:val="18"/>
                <w:szCs w:val="18"/>
              </w:rPr>
              <w:t>∑MB</w:t>
            </w:r>
            <w:r w:rsidRPr="00184673">
              <w:rPr>
                <w:rFonts w:ascii="Arial" w:hAnsi="Arial" w:cs="Arial"/>
                <w:b/>
                <w:bCs/>
                <w:color w:val="000000"/>
                <w:sz w:val="18"/>
                <w:szCs w:val="18"/>
                <w:vertAlign w:val="subscript"/>
              </w:rPr>
              <w:t>S</w:t>
            </w:r>
          </w:p>
        </w:tc>
      </w:tr>
      <w:tr w:rsidR="00184673" w:rsidRPr="00184673" w14:paraId="0C698117"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116EC9D9"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w:t>
            </w:r>
          </w:p>
        </w:tc>
        <w:tc>
          <w:tcPr>
            <w:tcW w:w="2601" w:type="dxa"/>
            <w:tcBorders>
              <w:top w:val="single" w:sz="6" w:space="0" w:color="BFBFBF"/>
              <w:left w:val="single" w:sz="6" w:space="0" w:color="BFBFBF"/>
              <w:bottom w:val="single" w:sz="6" w:space="0" w:color="BFBFBF"/>
              <w:right w:val="single" w:sz="6" w:space="0" w:color="BFBFBF"/>
            </w:tcBorders>
            <w:hideMark/>
          </w:tcPr>
          <w:p w14:paraId="62423BCF" w14:textId="77777777" w:rsidR="00184673" w:rsidRPr="00184673" w:rsidRDefault="00184673" w:rsidP="00184673">
            <w:pPr>
              <w:pStyle w:val="TAC"/>
              <w:rPr>
                <w:lang w:val="en-US"/>
              </w:rPr>
            </w:pPr>
            <w:r w:rsidRPr="00184673">
              <w:rPr>
                <w:lang w:val="en-US"/>
              </w:rPr>
              <w:t>0.3</w:t>
            </w:r>
          </w:p>
        </w:tc>
        <w:tc>
          <w:tcPr>
            <w:tcW w:w="735" w:type="dxa"/>
            <w:tcBorders>
              <w:top w:val="single" w:sz="6" w:space="0" w:color="BFBFBF"/>
              <w:left w:val="single" w:sz="6" w:space="0" w:color="BFBFBF"/>
              <w:bottom w:val="single" w:sz="6" w:space="0" w:color="BFBFBF"/>
              <w:right w:val="single" w:sz="6" w:space="0" w:color="BFBFBF"/>
            </w:tcBorders>
            <w:hideMark/>
          </w:tcPr>
          <w:p w14:paraId="21FD53F6"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0E8ABD17"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7B84E216" w14:textId="77777777" w:rsidR="00184673" w:rsidRPr="00184673" w:rsidRDefault="00184673" w:rsidP="00184673">
            <w:pPr>
              <w:pStyle w:val="TAC"/>
              <w:rPr>
                <w:lang w:val="en-US"/>
              </w:rPr>
            </w:pPr>
            <w:r w:rsidRPr="00184673">
              <w:rPr>
                <w:lang w:val="en-US"/>
              </w:rPr>
              <w:t>1.3</w:t>
            </w:r>
          </w:p>
        </w:tc>
        <w:tc>
          <w:tcPr>
            <w:tcW w:w="735" w:type="dxa"/>
            <w:tcBorders>
              <w:top w:val="single" w:sz="6" w:space="0" w:color="BFBFBF"/>
              <w:left w:val="single" w:sz="6" w:space="0" w:color="BFBFBF"/>
              <w:bottom w:val="single" w:sz="6" w:space="0" w:color="BFBFBF"/>
              <w:right w:val="single" w:sz="6" w:space="0" w:color="BFBFBF"/>
            </w:tcBorders>
            <w:hideMark/>
          </w:tcPr>
          <w:p w14:paraId="33E251D1" w14:textId="77777777" w:rsidR="00184673" w:rsidRPr="00184673" w:rsidRDefault="00184673" w:rsidP="00184673">
            <w:pPr>
              <w:pStyle w:val="TAC"/>
              <w:rPr>
                <w:lang w:val="en-US"/>
              </w:rPr>
            </w:pPr>
            <w:r w:rsidRPr="00184673">
              <w:rPr>
                <w:lang w:val="en-US"/>
              </w:rPr>
              <w:t>1.25</w:t>
            </w:r>
          </w:p>
        </w:tc>
      </w:tr>
      <w:tr w:rsidR="00184673" w:rsidRPr="00184673" w14:paraId="775E635B" w14:textId="77777777" w:rsidTr="00184673">
        <w:trPr>
          <w:trHeight w:val="300"/>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468A11BE"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n260</w:t>
            </w:r>
          </w:p>
          <w:p w14:paraId="39D77D51"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n260</w:t>
            </w:r>
          </w:p>
        </w:tc>
        <w:tc>
          <w:tcPr>
            <w:tcW w:w="2601" w:type="dxa"/>
            <w:tcBorders>
              <w:top w:val="single" w:sz="6" w:space="0" w:color="BFBFBF"/>
              <w:left w:val="single" w:sz="6" w:space="0" w:color="BFBFBF"/>
              <w:bottom w:val="single" w:sz="6" w:space="0" w:color="BFBFBF"/>
              <w:right w:val="single" w:sz="6" w:space="0" w:color="BFBFBF"/>
            </w:tcBorders>
            <w:hideMark/>
          </w:tcPr>
          <w:p w14:paraId="1AEF575B"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AF70A1C"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24BBC06"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E7902BA"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136A7D87" w14:textId="77777777" w:rsidR="00184673" w:rsidRPr="00184673" w:rsidRDefault="00184673" w:rsidP="00184673">
            <w:pPr>
              <w:pStyle w:val="TAC"/>
              <w:rPr>
                <w:lang w:val="en-US"/>
              </w:rPr>
            </w:pPr>
            <w:r w:rsidRPr="00184673">
              <w:rPr>
                <w:lang w:val="en-US"/>
              </w:rPr>
              <w:t>0.75</w:t>
            </w:r>
          </w:p>
        </w:tc>
      </w:tr>
      <w:tr w:rsidR="00184673" w:rsidRPr="00184673" w14:paraId="2B7CF78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B16868D"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n261</w:t>
            </w:r>
          </w:p>
        </w:tc>
        <w:tc>
          <w:tcPr>
            <w:tcW w:w="2601" w:type="dxa"/>
            <w:tcBorders>
              <w:top w:val="single" w:sz="6" w:space="0" w:color="BFBFBF"/>
              <w:left w:val="single" w:sz="6" w:space="0" w:color="BFBFBF"/>
              <w:bottom w:val="single" w:sz="6" w:space="0" w:color="BFBFBF"/>
              <w:right w:val="single" w:sz="6" w:space="0" w:color="BFBFBF"/>
            </w:tcBorders>
            <w:hideMark/>
          </w:tcPr>
          <w:p w14:paraId="2A34D007"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471D594F"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4BF81174"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06C25C3F"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69598CD7" w14:textId="77777777" w:rsidR="00184673" w:rsidRPr="00184673" w:rsidRDefault="00184673" w:rsidP="00184673">
            <w:pPr>
              <w:pStyle w:val="TAC"/>
              <w:rPr>
                <w:lang w:val="en-US"/>
              </w:rPr>
            </w:pPr>
            <w:r w:rsidRPr="00184673">
              <w:rPr>
                <w:lang w:val="en-US"/>
              </w:rPr>
              <w:t>0</w:t>
            </w:r>
          </w:p>
        </w:tc>
      </w:tr>
      <w:tr w:rsidR="00184673" w:rsidRPr="00184673" w14:paraId="4214ADC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4311E08"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n261</w:t>
            </w:r>
          </w:p>
        </w:tc>
        <w:tc>
          <w:tcPr>
            <w:tcW w:w="2601" w:type="dxa"/>
            <w:tcBorders>
              <w:top w:val="single" w:sz="6" w:space="0" w:color="BFBFBF"/>
              <w:left w:val="single" w:sz="6" w:space="0" w:color="BFBFBF"/>
              <w:bottom w:val="single" w:sz="6" w:space="0" w:color="BFBFBF"/>
              <w:right w:val="single" w:sz="6" w:space="0" w:color="BFBFBF"/>
            </w:tcBorders>
            <w:hideMark/>
          </w:tcPr>
          <w:p w14:paraId="1B59FBE4"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66210B5B"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1CBD7E5F"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CA5D3F6"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70C148D9" w14:textId="77777777" w:rsidR="00184673" w:rsidRPr="00184673" w:rsidRDefault="00184673" w:rsidP="00184673">
            <w:pPr>
              <w:pStyle w:val="TAC"/>
              <w:rPr>
                <w:lang w:val="en-US"/>
              </w:rPr>
            </w:pPr>
            <w:r w:rsidRPr="00184673">
              <w:rPr>
                <w:lang w:val="en-US"/>
              </w:rPr>
              <w:t>1.25</w:t>
            </w:r>
          </w:p>
        </w:tc>
      </w:tr>
      <w:tr w:rsidR="00184673" w:rsidRPr="00184673" w14:paraId="0639A78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2E5BC2B9"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n260, n261</w:t>
            </w:r>
          </w:p>
        </w:tc>
        <w:tc>
          <w:tcPr>
            <w:tcW w:w="2601" w:type="dxa"/>
            <w:tcBorders>
              <w:top w:val="single" w:sz="6" w:space="0" w:color="BFBFBF"/>
              <w:left w:val="single" w:sz="6" w:space="0" w:color="BFBFBF"/>
              <w:bottom w:val="single" w:sz="6" w:space="0" w:color="BFBFBF"/>
              <w:right w:val="single" w:sz="6" w:space="0" w:color="BFBFBF"/>
            </w:tcBorders>
            <w:hideMark/>
          </w:tcPr>
          <w:p w14:paraId="114A10B9"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17030B1"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808EBF1"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795036C4"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15520294" w14:textId="77777777" w:rsidR="00184673" w:rsidRPr="00184673" w:rsidRDefault="00184673" w:rsidP="00184673">
            <w:pPr>
              <w:pStyle w:val="TAC"/>
              <w:rPr>
                <w:lang w:val="en-US"/>
              </w:rPr>
            </w:pPr>
            <w:r w:rsidRPr="00184673">
              <w:rPr>
                <w:lang w:val="en-US"/>
              </w:rPr>
              <w:t>0.75</w:t>
            </w:r>
          </w:p>
        </w:tc>
      </w:tr>
      <w:tr w:rsidR="00184673" w:rsidRPr="00184673" w14:paraId="1C87C6A3" w14:textId="77777777" w:rsidTr="00184673">
        <w:trPr>
          <w:trHeight w:val="43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6CDCD5FC"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n260</w:t>
            </w:r>
          </w:p>
          <w:p w14:paraId="6F0A0C9F"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n261</w:t>
            </w:r>
          </w:p>
          <w:p w14:paraId="6F931523"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n260, n261</w:t>
            </w:r>
          </w:p>
        </w:tc>
        <w:tc>
          <w:tcPr>
            <w:tcW w:w="2601" w:type="dxa"/>
            <w:tcBorders>
              <w:top w:val="single" w:sz="6" w:space="0" w:color="BFBFBF"/>
              <w:left w:val="single" w:sz="6" w:space="0" w:color="BFBFBF"/>
              <w:bottom w:val="single" w:sz="6" w:space="0" w:color="BFBFBF"/>
              <w:right w:val="single" w:sz="6" w:space="0" w:color="BFBFBF"/>
            </w:tcBorders>
            <w:hideMark/>
          </w:tcPr>
          <w:p w14:paraId="789ED6C6" w14:textId="77777777" w:rsidR="00184673" w:rsidRPr="00184673" w:rsidRDefault="00184673" w:rsidP="00184673">
            <w:pPr>
              <w:pStyle w:val="TAC"/>
              <w:rPr>
                <w:lang w:val="en-US"/>
              </w:rPr>
            </w:pPr>
            <w:r w:rsidRPr="00184673">
              <w:rPr>
                <w:lang w:val="en-US"/>
              </w:rPr>
              <w:t>0.2</w:t>
            </w:r>
          </w:p>
        </w:tc>
        <w:tc>
          <w:tcPr>
            <w:tcW w:w="735" w:type="dxa"/>
            <w:tcBorders>
              <w:top w:val="single" w:sz="6" w:space="0" w:color="BFBFBF"/>
              <w:left w:val="single" w:sz="6" w:space="0" w:color="BFBFBF"/>
              <w:bottom w:val="single" w:sz="6" w:space="0" w:color="BFBFBF"/>
              <w:right w:val="single" w:sz="6" w:space="0" w:color="BFBFBF"/>
            </w:tcBorders>
            <w:hideMark/>
          </w:tcPr>
          <w:p w14:paraId="00A25BE6" w14:textId="77777777" w:rsidR="00184673" w:rsidRPr="00184673" w:rsidRDefault="00184673" w:rsidP="00184673">
            <w:pPr>
              <w:pStyle w:val="TAC"/>
              <w:rPr>
                <w:lang w:val="en-US"/>
              </w:rPr>
            </w:pPr>
            <w:r w:rsidRPr="00184673">
              <w:rPr>
                <w:lang w:val="en-US"/>
              </w:rPr>
              <w:t>3</w:t>
            </w:r>
          </w:p>
        </w:tc>
        <w:tc>
          <w:tcPr>
            <w:tcW w:w="735" w:type="dxa"/>
            <w:tcBorders>
              <w:top w:val="single" w:sz="6" w:space="0" w:color="BFBFBF"/>
              <w:left w:val="single" w:sz="6" w:space="0" w:color="BFBFBF"/>
              <w:bottom w:val="single" w:sz="6" w:space="0" w:color="BFBFBF"/>
              <w:right w:val="single" w:sz="6" w:space="0" w:color="BFBFBF"/>
            </w:tcBorders>
            <w:hideMark/>
          </w:tcPr>
          <w:p w14:paraId="6FAC44AB" w14:textId="77777777" w:rsidR="00184673" w:rsidRPr="00184673" w:rsidRDefault="00184673" w:rsidP="00184673">
            <w:pPr>
              <w:pStyle w:val="TAC"/>
              <w:rPr>
                <w:lang w:val="en-US"/>
              </w:rPr>
            </w:pPr>
            <w:r w:rsidRPr="00184673">
              <w:rPr>
                <w:lang w:val="en-US"/>
              </w:rPr>
              <w:t>1.5</w:t>
            </w:r>
          </w:p>
        </w:tc>
        <w:tc>
          <w:tcPr>
            <w:tcW w:w="735" w:type="dxa"/>
            <w:tcBorders>
              <w:top w:val="single" w:sz="6" w:space="0" w:color="BFBFBF"/>
              <w:left w:val="single" w:sz="6" w:space="0" w:color="BFBFBF"/>
              <w:bottom w:val="single" w:sz="6" w:space="0" w:color="BFBFBF"/>
              <w:right w:val="single" w:sz="6" w:space="0" w:color="BFBFBF"/>
            </w:tcBorders>
            <w:hideMark/>
          </w:tcPr>
          <w:p w14:paraId="3ED34437" w14:textId="77777777" w:rsidR="00184673" w:rsidRPr="00184673" w:rsidRDefault="00184673" w:rsidP="00184673">
            <w:pPr>
              <w:pStyle w:val="TAC"/>
              <w:rPr>
                <w:lang w:val="en-US"/>
              </w:rPr>
            </w:pPr>
            <w:r w:rsidRPr="00184673">
              <w:rPr>
                <w:lang w:val="en-US"/>
              </w:rPr>
              <w:t>1.7</w:t>
            </w:r>
          </w:p>
        </w:tc>
        <w:tc>
          <w:tcPr>
            <w:tcW w:w="735" w:type="dxa"/>
            <w:tcBorders>
              <w:top w:val="single" w:sz="6" w:space="0" w:color="BFBFBF"/>
              <w:left w:val="single" w:sz="6" w:space="0" w:color="BFBFBF"/>
              <w:bottom w:val="single" w:sz="6" w:space="0" w:color="BFBFBF"/>
              <w:right w:val="single" w:sz="6" w:space="0" w:color="BFBFBF"/>
            </w:tcBorders>
            <w:hideMark/>
          </w:tcPr>
          <w:p w14:paraId="49ECCD2B" w14:textId="77777777" w:rsidR="00184673" w:rsidRPr="00184673" w:rsidRDefault="00184673" w:rsidP="00184673">
            <w:pPr>
              <w:pStyle w:val="TAC"/>
              <w:rPr>
                <w:lang w:val="en-US"/>
              </w:rPr>
            </w:pPr>
            <w:r w:rsidRPr="00184673">
              <w:rPr>
                <w:lang w:val="en-US"/>
              </w:rPr>
              <w:t>1.75</w:t>
            </w:r>
          </w:p>
        </w:tc>
      </w:tr>
      <w:tr w:rsidR="00184673" w:rsidRPr="00184673" w14:paraId="387A4BDB" w14:textId="77777777" w:rsidTr="00184673">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1FDC10CA"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n260, n261</w:t>
            </w:r>
          </w:p>
        </w:tc>
        <w:tc>
          <w:tcPr>
            <w:tcW w:w="2601" w:type="dxa"/>
            <w:tcBorders>
              <w:top w:val="single" w:sz="6" w:space="0" w:color="BFBFBF"/>
              <w:left w:val="single" w:sz="6" w:space="0" w:color="BFBFBF"/>
              <w:bottom w:val="single" w:sz="6" w:space="0" w:color="BFBFBF"/>
              <w:right w:val="single" w:sz="6" w:space="0" w:color="BFBFBF"/>
            </w:tcBorders>
            <w:hideMark/>
          </w:tcPr>
          <w:p w14:paraId="587CEA5A"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B3757C9"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252F92BD"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D1D1289"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F5CDC3F" w14:textId="77777777" w:rsidR="00184673" w:rsidRPr="00184673" w:rsidRDefault="00184673" w:rsidP="00184673">
            <w:pPr>
              <w:pStyle w:val="TAC"/>
              <w:rPr>
                <w:lang w:val="en-US"/>
              </w:rPr>
            </w:pPr>
            <w:r w:rsidRPr="00184673">
              <w:rPr>
                <w:lang w:val="en-US"/>
              </w:rPr>
              <w:t>1.25</w:t>
            </w:r>
          </w:p>
        </w:tc>
      </w:tr>
      <w:tr w:rsidR="00184673" w:rsidRPr="00184673" w14:paraId="091E8CFC"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46BCEAC6"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n260, n261</w:t>
            </w:r>
          </w:p>
        </w:tc>
        <w:tc>
          <w:tcPr>
            <w:tcW w:w="2601" w:type="dxa"/>
            <w:tcBorders>
              <w:top w:val="single" w:sz="6" w:space="0" w:color="BFBFBF"/>
              <w:left w:val="single" w:sz="6" w:space="0" w:color="BFBFBF"/>
              <w:bottom w:val="single" w:sz="6" w:space="0" w:color="BFBFBF"/>
              <w:right w:val="single" w:sz="6" w:space="0" w:color="BFBFBF"/>
            </w:tcBorders>
            <w:hideMark/>
          </w:tcPr>
          <w:p w14:paraId="58877C14"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0AFF669"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598D109B"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13C2EAD2" w14:textId="77777777" w:rsidR="00184673" w:rsidRPr="00184673" w:rsidRDefault="00184673" w:rsidP="00184673">
            <w:pPr>
              <w:pStyle w:val="TAC"/>
              <w:rPr>
                <w:lang w:val="en-US"/>
              </w:rPr>
            </w:pPr>
            <w:r w:rsidRPr="00184673">
              <w:rPr>
                <w:lang w:val="en-US"/>
              </w:rPr>
              <w:t>1.5</w:t>
            </w:r>
          </w:p>
        </w:tc>
        <w:tc>
          <w:tcPr>
            <w:tcW w:w="735" w:type="dxa"/>
            <w:tcBorders>
              <w:top w:val="single" w:sz="6" w:space="0" w:color="BFBFBF"/>
              <w:left w:val="single" w:sz="6" w:space="0" w:color="BFBFBF"/>
              <w:bottom w:val="single" w:sz="6" w:space="0" w:color="BFBFBF"/>
              <w:right w:val="single" w:sz="6" w:space="0" w:color="BFBFBF"/>
            </w:tcBorders>
            <w:hideMark/>
          </w:tcPr>
          <w:p w14:paraId="37B72BF8" w14:textId="77777777" w:rsidR="00184673" w:rsidRPr="00184673" w:rsidRDefault="00184673" w:rsidP="00184673">
            <w:pPr>
              <w:pStyle w:val="TAC"/>
              <w:rPr>
                <w:lang w:val="en-US"/>
              </w:rPr>
            </w:pPr>
            <w:r w:rsidRPr="00184673">
              <w:rPr>
                <w:lang w:val="en-US"/>
              </w:rPr>
              <w:t>1.25</w:t>
            </w:r>
          </w:p>
        </w:tc>
      </w:tr>
    </w:tbl>
    <w:p w14:paraId="11AE53CD" w14:textId="2D8A5CD2" w:rsidR="007A2935" w:rsidRDefault="007A2935" w:rsidP="00044D7C"/>
    <w:p w14:paraId="3017BDC1" w14:textId="22AD5802" w:rsidR="00363EC4" w:rsidRDefault="00F10FE8" w:rsidP="00044D7C">
      <w:r>
        <w:t>We observe that the peak to spherical difference, which was used to adjust the peak relaxation factors, is a data driven parameter which could be difficult and impractical to derive for all possible combinations of supported bands with band n259 in the mix.  In our understanding, this parameter was introduced based on specific limitations of the Rel-15 device design.  Thus, in the context of adding band n259, we propose to simplify the framework to the following:</w:t>
      </w:r>
    </w:p>
    <w:p w14:paraId="6F160F47" w14:textId="77777777" w:rsidR="001B1F24" w:rsidRDefault="001B1F24" w:rsidP="00044D7C"/>
    <w:p w14:paraId="7B4C3A86" w14:textId="77777777" w:rsidR="00F10FE8" w:rsidRPr="001B1F24" w:rsidRDefault="00F10FE8" w:rsidP="00F10FE8">
      <w:pPr>
        <w:pStyle w:val="B1"/>
        <w:rPr>
          <w:sz w:val="24"/>
          <w:szCs w:val="24"/>
        </w:rPr>
      </w:pPr>
      <w:r w:rsidRPr="001B1F24">
        <w:rPr>
          <w:sz w:val="24"/>
          <w:szCs w:val="24"/>
        </w:rPr>
        <w:t>-</w:t>
      </w:r>
      <w:r w:rsidRPr="001B1F24">
        <w:rPr>
          <w:sz w:val="24"/>
          <w:szCs w:val="24"/>
        </w:rPr>
        <w:tab/>
        <w:t>∑MB</w:t>
      </w:r>
      <w:r w:rsidRPr="001B1F24">
        <w:rPr>
          <w:sz w:val="24"/>
          <w:szCs w:val="24"/>
          <w:vertAlign w:val="subscript"/>
        </w:rPr>
        <w:t>S</w:t>
      </w:r>
      <w:r w:rsidRPr="001B1F24">
        <w:rPr>
          <w:sz w:val="24"/>
          <w:szCs w:val="24"/>
        </w:rPr>
        <w:t xml:space="preserve"> = N*0.5 + 0.25 dB, where N corresponds to the total number of bands in the combination and excludes band n260 (N-1 in the case n260 is supported)</w:t>
      </w:r>
    </w:p>
    <w:p w14:paraId="366E1AD2" w14:textId="2118DE47" w:rsidR="00F10FE8" w:rsidRDefault="00F10FE8" w:rsidP="00F10FE8">
      <w:pPr>
        <w:pStyle w:val="B1"/>
        <w:rPr>
          <w:sz w:val="24"/>
          <w:szCs w:val="24"/>
        </w:rPr>
      </w:pPr>
      <w:r w:rsidRPr="001B1F24">
        <w:rPr>
          <w:sz w:val="24"/>
          <w:szCs w:val="24"/>
        </w:rPr>
        <w:t>-</w:t>
      </w:r>
      <w:r w:rsidRPr="001B1F24">
        <w:rPr>
          <w:sz w:val="24"/>
          <w:szCs w:val="24"/>
        </w:rPr>
        <w:tab/>
        <w:t>∑MB</w:t>
      </w:r>
      <w:r w:rsidRPr="001B1F24">
        <w:rPr>
          <w:sz w:val="24"/>
          <w:szCs w:val="24"/>
          <w:vertAlign w:val="subscript"/>
        </w:rPr>
        <w:t>P</w:t>
      </w:r>
      <w:r w:rsidRPr="001B1F24">
        <w:rPr>
          <w:sz w:val="24"/>
          <w:szCs w:val="24"/>
        </w:rPr>
        <w:t xml:space="preserve"> = N*0.5 </w:t>
      </w:r>
    </w:p>
    <w:p w14:paraId="52140DFA" w14:textId="164D30E3" w:rsidR="00CA76D3" w:rsidRPr="001B1F24" w:rsidRDefault="00CA76D3" w:rsidP="00F10FE8">
      <w:pPr>
        <w:pStyle w:val="B1"/>
        <w:rPr>
          <w:sz w:val="24"/>
          <w:szCs w:val="24"/>
        </w:rPr>
      </w:pPr>
      <w:r>
        <w:rPr>
          <w:sz w:val="24"/>
          <w:szCs w:val="24"/>
        </w:rPr>
        <w:t>-</w:t>
      </w:r>
      <w:r>
        <w:rPr>
          <w:sz w:val="24"/>
          <w:szCs w:val="24"/>
        </w:rPr>
        <w:tab/>
        <w:t>Retain notes 1 – 3 from the Rel-15 table</w:t>
      </w:r>
    </w:p>
    <w:p w14:paraId="19125352" w14:textId="56A56B91" w:rsidR="00F10FE8" w:rsidRDefault="00F10FE8" w:rsidP="00044D7C">
      <w:r>
        <w:t>Table 2 below provides the proposed multi-band factors according to this simplified framework.</w:t>
      </w:r>
    </w:p>
    <w:p w14:paraId="231C7A8F" w14:textId="77777777" w:rsidR="00F10FE8" w:rsidRDefault="00F10FE8" w:rsidP="00044D7C"/>
    <w:p w14:paraId="0450133D" w14:textId="18CA1ABF" w:rsidR="00F10FE8" w:rsidRPr="00F10FE8" w:rsidRDefault="00F10FE8" w:rsidP="00F10FE8">
      <w:pPr>
        <w:pStyle w:val="TAH"/>
      </w:pPr>
      <w:r>
        <w:t xml:space="preserve">Table </w:t>
      </w:r>
      <w:r w:rsidR="00FA41D2">
        <w:t>2</w:t>
      </w:r>
      <w:r>
        <w:t xml:space="preserve">: </w:t>
      </w:r>
      <w:r w:rsidR="00CA76D3">
        <w:t>Proposed extension</w:t>
      </w:r>
      <w:r>
        <w:t xml:space="preserve"> of multi-band factors</w:t>
      </w:r>
      <w:r w:rsidR="00CA76D3">
        <w:t xml:space="preserve"> for band n259</w:t>
      </w:r>
    </w:p>
    <w:tbl>
      <w:tblPr>
        <w:tblW w:w="0" w:type="auto"/>
        <w:jc w:val="center"/>
        <w:tblCellMar>
          <w:left w:w="0" w:type="dxa"/>
          <w:right w:w="0" w:type="dxa"/>
        </w:tblCellMar>
        <w:tblLook w:val="04A0" w:firstRow="1" w:lastRow="0" w:firstColumn="1" w:lastColumn="0" w:noHBand="0" w:noVBand="1"/>
      </w:tblPr>
      <w:tblGrid>
        <w:gridCol w:w="2010"/>
        <w:gridCol w:w="2591"/>
        <w:gridCol w:w="735"/>
        <w:gridCol w:w="735"/>
        <w:gridCol w:w="735"/>
        <w:gridCol w:w="735"/>
      </w:tblGrid>
      <w:tr w:rsidR="00F10FE8" w:rsidRPr="00F10FE8" w14:paraId="1A7E3AA0" w14:textId="77777777" w:rsidTr="00F10FE8">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2B5C2686" w14:textId="77777777" w:rsidR="00F10FE8" w:rsidRPr="00F10FE8" w:rsidRDefault="00F10FE8">
            <w:pPr>
              <w:pStyle w:val="NormalWeb"/>
              <w:spacing w:before="0" w:beforeAutospacing="0" w:after="0" w:afterAutospacing="0"/>
              <w:rPr>
                <w:sz w:val="18"/>
                <w:szCs w:val="18"/>
              </w:rPr>
            </w:pPr>
            <w:r w:rsidRPr="00F10FE8">
              <w:rPr>
                <w:rFonts w:ascii="Arial" w:hAnsi="Arial" w:cs="Arial"/>
                <w:b/>
                <w:bCs/>
                <w:color w:val="000000"/>
                <w:sz w:val="18"/>
                <w:szCs w:val="18"/>
              </w:rPr>
              <w:t>Supported bands</w:t>
            </w:r>
          </w:p>
        </w:tc>
        <w:tc>
          <w:tcPr>
            <w:tcW w:w="2591" w:type="dxa"/>
            <w:tcBorders>
              <w:top w:val="single" w:sz="6" w:space="0" w:color="BFBFBF"/>
              <w:left w:val="single" w:sz="6" w:space="0" w:color="BFBFBF"/>
              <w:bottom w:val="single" w:sz="6" w:space="0" w:color="BFBFBF"/>
              <w:right w:val="single" w:sz="6" w:space="0" w:color="BFBFBF"/>
            </w:tcBorders>
            <w:vAlign w:val="center"/>
            <w:hideMark/>
          </w:tcPr>
          <w:p w14:paraId="093E9F4D" w14:textId="62F2C471"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Peak - spherical adjustment</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4271FE6D" w14:textId="77777777"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2A3A70F1" w14:textId="77777777"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0.5*N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1F0BA31F" w14:textId="77777777" w:rsidR="00F10FE8" w:rsidRPr="00F10FE8" w:rsidRDefault="00F10FE8">
            <w:pPr>
              <w:pStyle w:val="NormalWeb"/>
              <w:spacing w:before="0" w:beforeAutospacing="0" w:after="135" w:afterAutospacing="0"/>
              <w:jc w:val="center"/>
              <w:rPr>
                <w:sz w:val="18"/>
                <w:szCs w:val="18"/>
              </w:rPr>
            </w:pPr>
            <w:r w:rsidRPr="00F10FE8">
              <w:rPr>
                <w:rFonts w:ascii="Arial" w:hAnsi="Arial" w:cs="Arial"/>
                <w:b/>
                <w:bCs/>
                <w:color w:val="000000"/>
                <w:sz w:val="18"/>
                <w:szCs w:val="18"/>
              </w:rPr>
              <w:t>∑MB</w:t>
            </w:r>
            <w:r w:rsidRPr="00F10FE8">
              <w:rPr>
                <w:rFonts w:ascii="Arial" w:hAnsi="Arial" w:cs="Arial"/>
                <w:b/>
                <w:bCs/>
                <w:color w:val="000000"/>
                <w:sz w:val="18"/>
                <w:szCs w:val="18"/>
                <w:vertAlign w:val="subscript"/>
              </w:rPr>
              <w:t>P</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1C7DA060" w14:textId="77777777" w:rsidR="00F10FE8" w:rsidRPr="00F10FE8" w:rsidRDefault="00F10FE8">
            <w:pPr>
              <w:pStyle w:val="NormalWeb"/>
              <w:spacing w:before="0" w:beforeAutospacing="0" w:after="135" w:afterAutospacing="0"/>
              <w:jc w:val="center"/>
              <w:rPr>
                <w:sz w:val="18"/>
                <w:szCs w:val="18"/>
              </w:rPr>
            </w:pPr>
            <w:r w:rsidRPr="00F10FE8">
              <w:rPr>
                <w:rFonts w:ascii="Arial" w:hAnsi="Arial" w:cs="Arial"/>
                <w:b/>
                <w:bCs/>
                <w:color w:val="000000"/>
                <w:sz w:val="18"/>
                <w:szCs w:val="18"/>
              </w:rPr>
              <w:t>∑MB</w:t>
            </w:r>
            <w:r w:rsidRPr="00F10FE8">
              <w:rPr>
                <w:rFonts w:ascii="Arial" w:hAnsi="Arial" w:cs="Arial"/>
                <w:b/>
                <w:bCs/>
                <w:color w:val="000000"/>
                <w:sz w:val="18"/>
                <w:szCs w:val="18"/>
                <w:vertAlign w:val="subscript"/>
              </w:rPr>
              <w:t>S</w:t>
            </w:r>
          </w:p>
        </w:tc>
      </w:tr>
      <w:tr w:rsidR="00F10FE8" w:rsidRPr="00F10FE8" w14:paraId="53D27803" w14:textId="77777777" w:rsidTr="00F10FE8">
        <w:trPr>
          <w:trHeight w:val="4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79BC4FE"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w:t>
            </w:r>
            <w:r w:rsidRPr="00F10FE8">
              <w:rPr>
                <w:rFonts w:ascii="Arial" w:hAnsi="Arial" w:cs="Arial"/>
                <w:color w:val="000000"/>
                <w:sz w:val="18"/>
                <w:szCs w:val="18"/>
              </w:rPr>
              <w:br/>
              <w:t>n258, n259</w:t>
            </w:r>
            <w:r w:rsidRPr="00F10FE8">
              <w:rPr>
                <w:rFonts w:ascii="Arial" w:hAnsi="Arial" w:cs="Arial"/>
                <w:color w:val="000000"/>
                <w:sz w:val="18"/>
                <w:szCs w:val="18"/>
              </w:rPr>
              <w:br/>
              <w:t>n259, n261</w:t>
            </w:r>
          </w:p>
        </w:tc>
        <w:tc>
          <w:tcPr>
            <w:tcW w:w="2591" w:type="dxa"/>
            <w:tcBorders>
              <w:top w:val="single" w:sz="6" w:space="0" w:color="BFBFBF"/>
              <w:left w:val="single" w:sz="6" w:space="0" w:color="BFBFBF"/>
              <w:bottom w:val="single" w:sz="6" w:space="0" w:color="BFBFBF"/>
              <w:right w:val="single" w:sz="6" w:space="0" w:color="BFBFBF"/>
            </w:tcBorders>
            <w:hideMark/>
          </w:tcPr>
          <w:p w14:paraId="2DE13F4F"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35467711"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6B5297F2"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5A9C17C6"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3148E052" w14:textId="77777777" w:rsidR="00F10FE8" w:rsidRPr="00F10FE8" w:rsidRDefault="00F10FE8" w:rsidP="00F10FE8">
            <w:pPr>
              <w:pStyle w:val="TAC"/>
            </w:pPr>
            <w:r w:rsidRPr="00F10FE8">
              <w:t>1.25</w:t>
            </w:r>
          </w:p>
        </w:tc>
      </w:tr>
      <w:tr w:rsidR="00F10FE8" w:rsidRPr="00F10FE8" w14:paraId="57D5F588" w14:textId="77777777" w:rsidTr="00F10FE8">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4C52FD35"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n259, n260</w:t>
            </w:r>
          </w:p>
        </w:tc>
        <w:tc>
          <w:tcPr>
            <w:tcW w:w="2591" w:type="dxa"/>
            <w:tcBorders>
              <w:top w:val="single" w:sz="6" w:space="0" w:color="BFBFBF"/>
              <w:left w:val="single" w:sz="6" w:space="0" w:color="BFBFBF"/>
              <w:bottom w:val="single" w:sz="6" w:space="0" w:color="BFBFBF"/>
              <w:right w:val="single" w:sz="6" w:space="0" w:color="BFBFBF"/>
            </w:tcBorders>
            <w:hideMark/>
          </w:tcPr>
          <w:p w14:paraId="26C8A63C"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A9E0650"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1B6525F3" w14:textId="77777777" w:rsidR="00F10FE8" w:rsidRPr="00F10FE8" w:rsidRDefault="00F10FE8" w:rsidP="00F10FE8">
            <w:pPr>
              <w:pStyle w:val="TAC"/>
            </w:pPr>
            <w:r w:rsidRPr="00F10FE8">
              <w:t>0.5</w:t>
            </w:r>
          </w:p>
        </w:tc>
        <w:tc>
          <w:tcPr>
            <w:tcW w:w="735" w:type="dxa"/>
            <w:tcBorders>
              <w:top w:val="single" w:sz="6" w:space="0" w:color="BFBFBF"/>
              <w:left w:val="single" w:sz="6" w:space="0" w:color="BFBFBF"/>
              <w:bottom w:val="single" w:sz="6" w:space="0" w:color="BFBFBF"/>
              <w:right w:val="single" w:sz="6" w:space="0" w:color="BFBFBF"/>
            </w:tcBorders>
            <w:hideMark/>
          </w:tcPr>
          <w:p w14:paraId="126D8A8F" w14:textId="77777777" w:rsidR="00F10FE8" w:rsidRPr="00F10FE8" w:rsidRDefault="00F10FE8" w:rsidP="00F10FE8">
            <w:pPr>
              <w:pStyle w:val="TAC"/>
            </w:pPr>
            <w:r w:rsidRPr="00F10FE8">
              <w:t>0.5</w:t>
            </w:r>
          </w:p>
        </w:tc>
        <w:tc>
          <w:tcPr>
            <w:tcW w:w="735" w:type="dxa"/>
            <w:tcBorders>
              <w:top w:val="single" w:sz="6" w:space="0" w:color="BFBFBF"/>
              <w:left w:val="single" w:sz="6" w:space="0" w:color="BFBFBF"/>
              <w:bottom w:val="single" w:sz="6" w:space="0" w:color="BFBFBF"/>
              <w:right w:val="single" w:sz="6" w:space="0" w:color="BFBFBF"/>
            </w:tcBorders>
            <w:hideMark/>
          </w:tcPr>
          <w:p w14:paraId="0F695B08" w14:textId="77777777" w:rsidR="00F10FE8" w:rsidRPr="00F10FE8" w:rsidRDefault="00F10FE8" w:rsidP="00F10FE8">
            <w:pPr>
              <w:pStyle w:val="TAC"/>
            </w:pPr>
            <w:r w:rsidRPr="00F10FE8">
              <w:t>0.75</w:t>
            </w:r>
          </w:p>
        </w:tc>
      </w:tr>
      <w:tr w:rsidR="00F10FE8" w:rsidRPr="00F10FE8" w14:paraId="0E55E64B"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46394204"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w:t>
            </w:r>
          </w:p>
        </w:tc>
        <w:tc>
          <w:tcPr>
            <w:tcW w:w="2591" w:type="dxa"/>
            <w:tcBorders>
              <w:top w:val="single" w:sz="6" w:space="0" w:color="BFBFBF"/>
              <w:left w:val="single" w:sz="6" w:space="0" w:color="BFBFBF"/>
              <w:bottom w:val="single" w:sz="6" w:space="0" w:color="BFBFBF"/>
              <w:right w:val="single" w:sz="6" w:space="0" w:color="BFBFBF"/>
            </w:tcBorders>
            <w:hideMark/>
          </w:tcPr>
          <w:p w14:paraId="1DA6649A"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36E36EC"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063DC07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0A0C9E8C"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212B1F21" w14:textId="77777777" w:rsidR="00F10FE8" w:rsidRPr="00F10FE8" w:rsidRDefault="00F10FE8" w:rsidP="00F10FE8">
            <w:pPr>
              <w:pStyle w:val="TAC"/>
            </w:pPr>
            <w:r w:rsidRPr="00F10FE8">
              <w:t>1.75</w:t>
            </w:r>
          </w:p>
        </w:tc>
      </w:tr>
      <w:tr w:rsidR="00F10FE8" w:rsidRPr="00F10FE8" w14:paraId="660F5720" w14:textId="77777777" w:rsidTr="00F10FE8">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107092A8"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n260</w:t>
            </w:r>
          </w:p>
          <w:p w14:paraId="49B6EE7A"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n260</w:t>
            </w:r>
          </w:p>
        </w:tc>
        <w:tc>
          <w:tcPr>
            <w:tcW w:w="2591" w:type="dxa"/>
            <w:tcBorders>
              <w:top w:val="single" w:sz="6" w:space="0" w:color="BFBFBF"/>
              <w:left w:val="single" w:sz="6" w:space="0" w:color="BFBFBF"/>
              <w:bottom w:val="single" w:sz="6" w:space="0" w:color="BFBFBF"/>
              <w:right w:val="single" w:sz="6" w:space="0" w:color="BFBFBF"/>
            </w:tcBorders>
            <w:hideMark/>
          </w:tcPr>
          <w:p w14:paraId="09E7A80C"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7269327"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3DE7FAE3"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0790A764"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53726166" w14:textId="77777777" w:rsidR="00F10FE8" w:rsidRPr="00F10FE8" w:rsidRDefault="00F10FE8" w:rsidP="00F10FE8">
            <w:pPr>
              <w:pStyle w:val="TAC"/>
            </w:pPr>
            <w:r w:rsidRPr="00F10FE8">
              <w:t>1.25</w:t>
            </w:r>
          </w:p>
        </w:tc>
      </w:tr>
      <w:tr w:rsidR="00F10FE8" w:rsidRPr="00F10FE8" w14:paraId="4C6D1565"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58E54FE"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n261</w:t>
            </w:r>
          </w:p>
        </w:tc>
        <w:tc>
          <w:tcPr>
            <w:tcW w:w="2591" w:type="dxa"/>
            <w:tcBorders>
              <w:top w:val="single" w:sz="6" w:space="0" w:color="BFBFBF"/>
              <w:left w:val="single" w:sz="6" w:space="0" w:color="BFBFBF"/>
              <w:bottom w:val="single" w:sz="6" w:space="0" w:color="BFBFBF"/>
              <w:right w:val="single" w:sz="6" w:space="0" w:color="BFBFBF"/>
            </w:tcBorders>
            <w:hideMark/>
          </w:tcPr>
          <w:p w14:paraId="705F8377"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B435B5A"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02144D90"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5FF033D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1D010D6F" w14:textId="77777777" w:rsidR="00F10FE8" w:rsidRPr="00F10FE8" w:rsidRDefault="00F10FE8" w:rsidP="00F10FE8">
            <w:pPr>
              <w:pStyle w:val="TAC"/>
            </w:pPr>
            <w:r w:rsidRPr="00F10FE8">
              <w:t>1.75</w:t>
            </w:r>
          </w:p>
        </w:tc>
      </w:tr>
      <w:tr w:rsidR="00F10FE8" w:rsidRPr="00F10FE8" w14:paraId="3D9D8259"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0FDA94C4"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n261</w:t>
            </w:r>
          </w:p>
        </w:tc>
        <w:tc>
          <w:tcPr>
            <w:tcW w:w="2591" w:type="dxa"/>
            <w:tcBorders>
              <w:top w:val="single" w:sz="6" w:space="0" w:color="BFBFBF"/>
              <w:left w:val="single" w:sz="6" w:space="0" w:color="BFBFBF"/>
              <w:bottom w:val="single" w:sz="6" w:space="0" w:color="BFBFBF"/>
              <w:right w:val="single" w:sz="6" w:space="0" w:color="BFBFBF"/>
            </w:tcBorders>
            <w:hideMark/>
          </w:tcPr>
          <w:p w14:paraId="4F89EB35"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9113F72"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25BBE789"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34AE34A2"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1A25F7BB" w14:textId="77777777" w:rsidR="00F10FE8" w:rsidRPr="00F10FE8" w:rsidRDefault="00F10FE8" w:rsidP="00F10FE8">
            <w:pPr>
              <w:pStyle w:val="TAC"/>
            </w:pPr>
            <w:r w:rsidRPr="00F10FE8">
              <w:t>1.75</w:t>
            </w:r>
          </w:p>
        </w:tc>
      </w:tr>
      <w:tr w:rsidR="00F10FE8" w:rsidRPr="00F10FE8" w14:paraId="14436533" w14:textId="77777777" w:rsidTr="00F10FE8">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5E9E59C3"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7BE667FA"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512FCF5D"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32331234"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6C4E328C"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0EF62703" w14:textId="77777777" w:rsidR="00F10FE8" w:rsidRPr="00F10FE8" w:rsidRDefault="00F10FE8" w:rsidP="00F10FE8">
            <w:pPr>
              <w:pStyle w:val="TAC"/>
            </w:pPr>
            <w:r w:rsidRPr="00F10FE8">
              <w:t>1.25</w:t>
            </w:r>
          </w:p>
        </w:tc>
      </w:tr>
      <w:tr w:rsidR="00F10FE8" w:rsidRPr="00F10FE8" w14:paraId="78D48818" w14:textId="77777777" w:rsidTr="00F10FE8">
        <w:trPr>
          <w:trHeight w:val="43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788E1776"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n260</w:t>
            </w:r>
          </w:p>
          <w:p w14:paraId="7E270412"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n261</w:t>
            </w:r>
          </w:p>
          <w:p w14:paraId="39D430A2"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1C5A87B4"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5814B77E" w14:textId="77777777" w:rsidR="00F10FE8" w:rsidRPr="00F10FE8" w:rsidRDefault="00F10FE8" w:rsidP="00F10FE8">
            <w:pPr>
              <w:pStyle w:val="TAC"/>
            </w:pPr>
            <w:r w:rsidRPr="00F10FE8">
              <w:t>4</w:t>
            </w:r>
          </w:p>
        </w:tc>
        <w:tc>
          <w:tcPr>
            <w:tcW w:w="735" w:type="dxa"/>
            <w:tcBorders>
              <w:top w:val="single" w:sz="6" w:space="0" w:color="BFBFBF"/>
              <w:left w:val="single" w:sz="6" w:space="0" w:color="BFBFBF"/>
              <w:bottom w:val="single" w:sz="6" w:space="0" w:color="BFBFBF"/>
              <w:right w:val="single" w:sz="6" w:space="0" w:color="BFBFBF"/>
            </w:tcBorders>
            <w:hideMark/>
          </w:tcPr>
          <w:p w14:paraId="2DD031F8"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2719BEBA"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21B6B1ED" w14:textId="77777777" w:rsidR="00F10FE8" w:rsidRPr="00F10FE8" w:rsidRDefault="00F10FE8" w:rsidP="00F10FE8">
            <w:pPr>
              <w:pStyle w:val="TAC"/>
            </w:pPr>
            <w:r w:rsidRPr="00F10FE8">
              <w:t>2.25</w:t>
            </w:r>
          </w:p>
        </w:tc>
      </w:tr>
      <w:tr w:rsidR="00F10FE8" w:rsidRPr="00F10FE8" w14:paraId="2B55D6A6"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0C75E700"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222B9C3B"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E1543DE"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10D9A3F2"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08733DFB"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481D691A" w14:textId="77777777" w:rsidR="00F10FE8" w:rsidRPr="00F10FE8" w:rsidRDefault="00F10FE8" w:rsidP="00F10FE8">
            <w:pPr>
              <w:pStyle w:val="TAC"/>
            </w:pPr>
            <w:r w:rsidRPr="00F10FE8">
              <w:t>1.75</w:t>
            </w:r>
          </w:p>
        </w:tc>
      </w:tr>
      <w:tr w:rsidR="00F10FE8" w:rsidRPr="00F10FE8" w14:paraId="61C97E63"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17186DBB"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1F366718"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051DB420"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5F93F02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4970579D"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75DE0743" w14:textId="77777777" w:rsidR="00F10FE8" w:rsidRPr="00F10FE8" w:rsidRDefault="00F10FE8" w:rsidP="00F10FE8">
            <w:pPr>
              <w:pStyle w:val="TAC"/>
            </w:pPr>
            <w:r w:rsidRPr="00F10FE8">
              <w:t>1.75</w:t>
            </w:r>
          </w:p>
        </w:tc>
      </w:tr>
    </w:tbl>
    <w:p w14:paraId="122C9827" w14:textId="2A593E7F" w:rsidR="009B1790" w:rsidRDefault="009B1790" w:rsidP="00D27EF9"/>
    <w:p w14:paraId="5FE223ED" w14:textId="6208A196" w:rsidR="00762811" w:rsidRDefault="00762811" w:rsidP="00762811">
      <w:pPr>
        <w:pStyle w:val="Proposal"/>
      </w:pPr>
      <w:bookmarkStart w:id="2" w:name="_Toc20816915"/>
      <w:bookmarkStart w:id="3" w:name="_Toc20817384"/>
      <w:bookmarkStart w:id="4" w:name="_Toc20818480"/>
      <w:bookmarkStart w:id="5" w:name="_Toc20818486"/>
      <w:bookmarkStart w:id="6" w:name="_Toc20818517"/>
      <w:bookmarkStart w:id="7" w:name="_Toc20818541"/>
      <w:bookmarkStart w:id="8" w:name="_Toc20818551"/>
      <w:bookmarkStart w:id="9" w:name="_Toc20818595"/>
      <w:bookmarkStart w:id="10" w:name="_Toc20818633"/>
      <w:bookmarkStart w:id="11" w:name="_Toc20871522"/>
      <w:bookmarkStart w:id="12" w:name="_Toc23750738"/>
      <w:bookmarkStart w:id="13" w:name="_Toc23751359"/>
      <w:bookmarkStart w:id="14" w:name="_Toc23753257"/>
      <w:bookmarkStart w:id="15" w:name="_Toc23753888"/>
      <w:bookmarkStart w:id="16" w:name="_Toc23768470"/>
      <w:bookmarkStart w:id="17" w:name="_Toc23773676"/>
      <w:bookmarkStart w:id="18" w:name="_Toc23773711"/>
      <w:bookmarkStart w:id="19" w:name="_Toc23773716"/>
      <w:r>
        <w:t xml:space="preserve">Proposal </w:t>
      </w:r>
      <w:r w:rsidR="0035296E">
        <w:t>1</w:t>
      </w:r>
      <w:r>
        <w:t>:</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CA76D3">
        <w:t>Define the multi-band factors with band n259 according to Table 2.</w:t>
      </w:r>
      <w:bookmarkEnd w:id="17"/>
      <w:bookmarkEnd w:id="18"/>
      <w:bookmarkEnd w:id="19"/>
      <w:r w:rsidR="00CA76D3">
        <w:t xml:space="preserve">  </w:t>
      </w:r>
    </w:p>
    <w:p w14:paraId="34C99636" w14:textId="77777777" w:rsidR="008E7986" w:rsidRDefault="008E7986" w:rsidP="008E7986">
      <w:pPr>
        <w:pStyle w:val="Heading1"/>
      </w:pPr>
      <w:r>
        <w:t>3</w:t>
      </w:r>
      <w:r>
        <w:tab/>
        <w:t>Conclusions</w:t>
      </w:r>
    </w:p>
    <w:p w14:paraId="022AC6BB" w14:textId="4FA4EE36" w:rsidR="00CA76D3" w:rsidRDefault="0035296E" w:rsidP="00CA76D3">
      <w:r>
        <w:t xml:space="preserve">This contribution has </w:t>
      </w:r>
      <w:r w:rsidR="00C36C3C">
        <w:t>analyzed how to extend the multi-band framework to include band n259 and made the following proposal</w:t>
      </w:r>
      <w:r w:rsidR="00A61086">
        <w:t>:</w:t>
      </w:r>
    </w:p>
    <w:p w14:paraId="128C9969" w14:textId="77777777" w:rsidR="00CA76D3" w:rsidRDefault="00CA76D3" w:rsidP="00CA76D3"/>
    <w:p w14:paraId="49452DC6" w14:textId="77777777" w:rsidR="00CA76D3" w:rsidRDefault="0035296E">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CA76D3">
        <w:rPr>
          <w:noProof/>
        </w:rPr>
        <w:t>Proposal 1:</w:t>
      </w:r>
      <w:r w:rsidR="00CA76D3">
        <w:rPr>
          <w:rFonts w:asciiTheme="minorHAnsi" w:eastAsiaTheme="minorEastAsia" w:hAnsiTheme="minorHAnsi" w:cstheme="minorBidi"/>
          <w:b w:val="0"/>
          <w:bCs w:val="0"/>
          <w:noProof/>
          <w:sz w:val="24"/>
          <w:szCs w:val="24"/>
          <w:lang w:val="en-US"/>
        </w:rPr>
        <w:tab/>
      </w:r>
      <w:r w:rsidR="00CA76D3">
        <w:rPr>
          <w:noProof/>
        </w:rPr>
        <w:t>Define the multi-band factors with band n259 according to Table 2.</w:t>
      </w:r>
    </w:p>
    <w:p w14:paraId="05CC6F0A" w14:textId="576391CB" w:rsidR="005E69AE" w:rsidRPr="0035296E" w:rsidRDefault="0035296E" w:rsidP="00714EA5">
      <w:pPr>
        <w:pStyle w:val="TOC1"/>
        <w:ind w:left="0" w:firstLine="0"/>
        <w:rPr>
          <w:rFonts w:asciiTheme="minorHAnsi" w:eastAsiaTheme="minorEastAsia" w:hAnsiTheme="minorHAnsi" w:cstheme="minorBidi"/>
          <w:b w:val="0"/>
          <w:bCs w:val="0"/>
          <w:noProof/>
          <w:sz w:val="24"/>
          <w:szCs w:val="24"/>
          <w:lang w:val="de-DE"/>
        </w:rPr>
      </w:pPr>
      <w:r>
        <w:rPr>
          <w:b w:val="0"/>
          <w:bCs w:val="0"/>
        </w:rPr>
        <w:fldChar w:fldCharType="end"/>
      </w:r>
    </w:p>
    <w:p w14:paraId="5D2DDC34" w14:textId="77777777" w:rsidR="005E69AE" w:rsidRDefault="005E69AE" w:rsidP="005E69AE">
      <w:pPr>
        <w:pStyle w:val="Heading1"/>
      </w:pPr>
      <w:r>
        <w:lastRenderedPageBreak/>
        <w:t>4</w:t>
      </w:r>
      <w:r>
        <w:tab/>
        <w:t>References</w:t>
      </w:r>
    </w:p>
    <w:p w14:paraId="0785338F" w14:textId="77777777" w:rsidR="00CD651B" w:rsidRDefault="00CD651B" w:rsidP="00CD651B">
      <w:pPr>
        <w:pStyle w:val="EX"/>
        <w:numPr>
          <w:ilvl w:val="0"/>
          <w:numId w:val="5"/>
        </w:numPr>
      </w:pPr>
      <w:bookmarkStart w:id="20" w:name="_Ref16511322"/>
      <w:r w:rsidRPr="00B067DA">
        <w:t>RP-190765, “New WID: introduction of Band n259”</w:t>
      </w:r>
      <w:bookmarkEnd w:id="20"/>
    </w:p>
    <w:p w14:paraId="1C17AAFA" w14:textId="25863396" w:rsidR="00CD651B" w:rsidRDefault="00E2539D" w:rsidP="00CD651B">
      <w:pPr>
        <w:pStyle w:val="EX"/>
        <w:numPr>
          <w:ilvl w:val="0"/>
          <w:numId w:val="5"/>
        </w:numPr>
      </w:pPr>
      <w:bookmarkStart w:id="21" w:name="_Ref16511618"/>
      <w:r w:rsidRPr="00E2539D">
        <w:t>R4-1907901</w:t>
      </w:r>
      <w:r w:rsidR="00CD651B">
        <w:t>, “</w:t>
      </w:r>
      <w:r w:rsidR="00CD651B" w:rsidRPr="00072F25">
        <w:t>RAN4 #91 Meeting report</w:t>
      </w:r>
      <w:r w:rsidR="00CD651B">
        <w:t>”</w:t>
      </w:r>
      <w:bookmarkEnd w:id="21"/>
    </w:p>
    <w:p w14:paraId="5306EADF" w14:textId="159A414B" w:rsidR="00CD651B" w:rsidRDefault="00CD651B" w:rsidP="00CD651B">
      <w:pPr>
        <w:pStyle w:val="EX"/>
        <w:numPr>
          <w:ilvl w:val="0"/>
          <w:numId w:val="5"/>
        </w:numPr>
      </w:pPr>
      <w:bookmarkStart w:id="22" w:name="_Ref16511671"/>
      <w:r>
        <w:t>R4-1904379, "Scope and workplan for introduction of Band n259 WI"</w:t>
      </w:r>
      <w:bookmarkEnd w:id="22"/>
    </w:p>
    <w:p w14:paraId="6786F670" w14:textId="5CEC2B32" w:rsidR="00CD651B" w:rsidRDefault="00E2539D" w:rsidP="00E2539D">
      <w:pPr>
        <w:pStyle w:val="EX"/>
        <w:numPr>
          <w:ilvl w:val="0"/>
          <w:numId w:val="5"/>
        </w:numPr>
      </w:pPr>
      <w:bookmarkStart w:id="23" w:name="_Ref16511683"/>
      <w:r>
        <w:t>R4-1903072, "Recommendations for the work plan on Band n259"</w:t>
      </w:r>
      <w:bookmarkEnd w:id="23"/>
    </w:p>
    <w:p w14:paraId="78F0F855" w14:textId="27BC000D" w:rsidR="00E2539D" w:rsidRDefault="00E2539D" w:rsidP="00CD651B">
      <w:pPr>
        <w:pStyle w:val="EX"/>
        <w:numPr>
          <w:ilvl w:val="0"/>
          <w:numId w:val="5"/>
        </w:numPr>
      </w:pPr>
      <w:bookmarkStart w:id="24" w:name="_Ref20817356"/>
      <w:r w:rsidRPr="00E2539D">
        <w:t>R4-1910511</w:t>
      </w:r>
      <w:r>
        <w:t>, “</w:t>
      </w:r>
      <w:r w:rsidRPr="00E2539D">
        <w:t>WF on link budget parameters for Rx/Tx of band n259</w:t>
      </w:r>
      <w:r>
        <w:t>,” Huawei, Apple Inc., 3GPP RAN4 #92, August 2019</w:t>
      </w:r>
      <w:bookmarkEnd w:id="24"/>
    </w:p>
    <w:p w14:paraId="725AA90B" w14:textId="01FAC34D" w:rsidR="007504E2" w:rsidRDefault="005B0263" w:rsidP="00CD651B">
      <w:pPr>
        <w:pStyle w:val="EX"/>
        <w:numPr>
          <w:ilvl w:val="0"/>
          <w:numId w:val="5"/>
        </w:numPr>
      </w:pPr>
      <w:bookmarkStart w:id="25" w:name="_Ref23751179"/>
      <w:r w:rsidRPr="005B0263">
        <w:t>R4-1912977</w:t>
      </w:r>
      <w:r>
        <w:t>, “</w:t>
      </w:r>
      <w:r w:rsidRPr="005B0263">
        <w:t>WF on EIRP and EIS for n259</w:t>
      </w:r>
      <w:r>
        <w:t>,” Huawei, HiSilicon, 3GPP RAN4 #92bis, October 2019</w:t>
      </w:r>
      <w:bookmarkEnd w:id="25"/>
    </w:p>
    <w:p w14:paraId="784250C6" w14:textId="5ABC4BB0" w:rsidR="000F3730" w:rsidRDefault="000F3730" w:rsidP="00CD651B">
      <w:pPr>
        <w:pStyle w:val="EX"/>
        <w:numPr>
          <w:ilvl w:val="0"/>
          <w:numId w:val="5"/>
        </w:numPr>
      </w:pPr>
      <w:bookmarkStart w:id="26" w:name="_Ref23753871"/>
      <w:r>
        <w:t>R4-19xxxxx, “</w:t>
      </w:r>
      <w:r w:rsidRPr="000F3730">
        <w:t>Derivation of spherical coverage EIRP and EIS for band n259</w:t>
      </w:r>
      <w:r>
        <w:t>,” Apple Inc., 3GPP RAN4 #92bis, October 2019</w:t>
      </w:r>
      <w:bookmarkEnd w:id="26"/>
    </w:p>
    <w:p w14:paraId="09237300" w14:textId="30D219FF" w:rsidR="00A35167" w:rsidRDefault="00A35167" w:rsidP="00A35167">
      <w:pPr>
        <w:pStyle w:val="EX"/>
        <w:numPr>
          <w:ilvl w:val="0"/>
          <w:numId w:val="5"/>
        </w:numPr>
      </w:pPr>
      <w:bookmarkStart w:id="27" w:name="_Ref20820375"/>
      <w:bookmarkStart w:id="28" w:name="_Ref20817988"/>
      <w:r>
        <w:t>3GPP TS38.101-2, “</w:t>
      </w:r>
      <w:r w:rsidRPr="002202CE">
        <w:t>User Equipment (UE) radio transmission and reception; Part 2: Range 2 Standalone</w:t>
      </w:r>
      <w:r>
        <w:t>”</w:t>
      </w:r>
      <w:bookmarkEnd w:id="27"/>
    </w:p>
    <w:p w14:paraId="04B08285" w14:textId="05CC4944" w:rsidR="00B57BD6" w:rsidRDefault="00B57BD6" w:rsidP="00B57BD6">
      <w:pPr>
        <w:pStyle w:val="EX"/>
        <w:numPr>
          <w:ilvl w:val="0"/>
          <w:numId w:val="5"/>
        </w:numPr>
      </w:pPr>
      <w:bookmarkStart w:id="29" w:name="_Ref23768708"/>
      <w:r w:rsidRPr="00CD651B">
        <w:t>R4-1908011</w:t>
      </w:r>
      <w:r>
        <w:t>, “</w:t>
      </w:r>
      <w:r w:rsidRPr="00CD651B">
        <w:t>Multi-band requirement framework for Band n259</w:t>
      </w:r>
      <w:r>
        <w:t>,” Apple Inc., 3GPP RAN4 #92, August 2019</w:t>
      </w:r>
      <w:bookmarkEnd w:id="28"/>
      <w:bookmarkEnd w:id="29"/>
    </w:p>
    <w:p w14:paraId="43FE6FCF" w14:textId="2989DACE" w:rsidR="006973C9" w:rsidRDefault="006973C9" w:rsidP="00CD651B">
      <w:pPr>
        <w:pStyle w:val="EX"/>
        <w:numPr>
          <w:ilvl w:val="0"/>
          <w:numId w:val="5"/>
        </w:numPr>
      </w:pPr>
      <w:bookmarkStart w:id="30" w:name="_Ref23769506"/>
      <w:r w:rsidRPr="006973C9">
        <w:t>R4-1816216</w:t>
      </w:r>
      <w:r>
        <w:t>, “</w:t>
      </w:r>
      <w:r w:rsidRPr="006973C9">
        <w:t>FR2 multi-band support adhoc minutes</w:t>
      </w:r>
      <w:r>
        <w:t>,” Apple Inc., 3GPP RAN4 #89</w:t>
      </w:r>
      <w:r w:rsidR="00A35167">
        <w:t>, November 2018</w:t>
      </w:r>
      <w:bookmarkEnd w:id="30"/>
    </w:p>
    <w:p w14:paraId="130A3864" w14:textId="4C9FFFEE" w:rsidR="006973C9" w:rsidRDefault="00A35167" w:rsidP="00CD651B">
      <w:pPr>
        <w:pStyle w:val="EX"/>
        <w:numPr>
          <w:ilvl w:val="0"/>
          <w:numId w:val="5"/>
        </w:numPr>
      </w:pPr>
      <w:bookmarkStart w:id="31" w:name="_Ref23768853"/>
      <w:r w:rsidRPr="00A35167">
        <w:t>R4-1816622</w:t>
      </w:r>
      <w:r>
        <w:t>, “</w:t>
      </w:r>
      <w:r w:rsidRPr="00A35167">
        <w:t>Beam correspondence and multiband framework AH2 agenda</w:t>
      </w:r>
      <w:r>
        <w:t>,” Qualcomm Incorporated, 3GPP RAN4 #89, November 2018</w:t>
      </w:r>
      <w:bookmarkEnd w:id="31"/>
    </w:p>
    <w:p w14:paraId="05772444" w14:textId="1578016F" w:rsidR="00CA0623" w:rsidRDefault="00CA0623" w:rsidP="00CD651B">
      <w:pPr>
        <w:pStyle w:val="EX"/>
        <w:numPr>
          <w:ilvl w:val="0"/>
          <w:numId w:val="5"/>
        </w:numPr>
      </w:pPr>
      <w:r w:rsidRPr="00CA0623">
        <w:t>R4-1902181</w:t>
      </w:r>
      <w:r>
        <w:t>, “</w:t>
      </w:r>
      <w:r w:rsidRPr="00CA0623">
        <w:t>Response LS on multi-band relaxation</w:t>
      </w:r>
      <w:r>
        <w:t>,” 3GPP RAN4, February 2019</w:t>
      </w:r>
    </w:p>
    <w:bookmarkEnd w:id="0"/>
    <w:p w14:paraId="2DB4EFE6" w14:textId="54D381C9" w:rsidR="00E2539D" w:rsidRDefault="00E2539D"/>
    <w:sectPr w:rsidR="00E2539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E183A" w14:textId="77777777" w:rsidR="00503028" w:rsidRDefault="00503028">
      <w:r>
        <w:separator/>
      </w:r>
    </w:p>
  </w:endnote>
  <w:endnote w:type="continuationSeparator" w:id="0">
    <w:p w14:paraId="38D449AA" w14:textId="77777777" w:rsidR="00503028" w:rsidRDefault="0050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9FFFE" w14:textId="77777777" w:rsidR="00503028" w:rsidRDefault="00503028">
      <w:r>
        <w:separator/>
      </w:r>
    </w:p>
  </w:footnote>
  <w:footnote w:type="continuationSeparator" w:id="0">
    <w:p w14:paraId="6BDA3FEA" w14:textId="77777777" w:rsidR="00503028" w:rsidRDefault="0050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33397"/>
    <w:rsid w:val="00040095"/>
    <w:rsid w:val="00044D7C"/>
    <w:rsid w:val="00051834"/>
    <w:rsid w:val="00054A22"/>
    <w:rsid w:val="00057B9D"/>
    <w:rsid w:val="00062023"/>
    <w:rsid w:val="000655A6"/>
    <w:rsid w:val="00080512"/>
    <w:rsid w:val="000A365D"/>
    <w:rsid w:val="000A68F3"/>
    <w:rsid w:val="000C47C3"/>
    <w:rsid w:val="000D3143"/>
    <w:rsid w:val="000D58AB"/>
    <w:rsid w:val="000F3730"/>
    <w:rsid w:val="00104BC6"/>
    <w:rsid w:val="001133A5"/>
    <w:rsid w:val="00114E2C"/>
    <w:rsid w:val="0011763D"/>
    <w:rsid w:val="00125A30"/>
    <w:rsid w:val="00133525"/>
    <w:rsid w:val="00150B37"/>
    <w:rsid w:val="00184673"/>
    <w:rsid w:val="0019395F"/>
    <w:rsid w:val="001952DB"/>
    <w:rsid w:val="001A4C42"/>
    <w:rsid w:val="001B1D9C"/>
    <w:rsid w:val="001B1F24"/>
    <w:rsid w:val="001C21C3"/>
    <w:rsid w:val="001C56EA"/>
    <w:rsid w:val="001D02C2"/>
    <w:rsid w:val="001D7EB1"/>
    <w:rsid w:val="001E0A52"/>
    <w:rsid w:val="001F0C1D"/>
    <w:rsid w:val="001F1132"/>
    <w:rsid w:val="001F168B"/>
    <w:rsid w:val="001F7234"/>
    <w:rsid w:val="00200662"/>
    <w:rsid w:val="00202FAE"/>
    <w:rsid w:val="002202CE"/>
    <w:rsid w:val="00230FB1"/>
    <w:rsid w:val="002347A2"/>
    <w:rsid w:val="00247926"/>
    <w:rsid w:val="002675F0"/>
    <w:rsid w:val="0027462C"/>
    <w:rsid w:val="00276EE4"/>
    <w:rsid w:val="0028110F"/>
    <w:rsid w:val="00290BFF"/>
    <w:rsid w:val="002B6339"/>
    <w:rsid w:val="002D525C"/>
    <w:rsid w:val="002E00EE"/>
    <w:rsid w:val="003172DC"/>
    <w:rsid w:val="00337522"/>
    <w:rsid w:val="0034052F"/>
    <w:rsid w:val="0035296E"/>
    <w:rsid w:val="0035462D"/>
    <w:rsid w:val="00363EC4"/>
    <w:rsid w:val="003765B8"/>
    <w:rsid w:val="003A0483"/>
    <w:rsid w:val="003C3971"/>
    <w:rsid w:val="003D2481"/>
    <w:rsid w:val="003E62EA"/>
    <w:rsid w:val="003E7753"/>
    <w:rsid w:val="00413E64"/>
    <w:rsid w:val="00423334"/>
    <w:rsid w:val="004345EC"/>
    <w:rsid w:val="004826A9"/>
    <w:rsid w:val="004837EB"/>
    <w:rsid w:val="004C1601"/>
    <w:rsid w:val="004D3578"/>
    <w:rsid w:val="004E213A"/>
    <w:rsid w:val="004E4AA4"/>
    <w:rsid w:val="004F0988"/>
    <w:rsid w:val="004F3340"/>
    <w:rsid w:val="004F3E3D"/>
    <w:rsid w:val="00503028"/>
    <w:rsid w:val="00515EDE"/>
    <w:rsid w:val="00532179"/>
    <w:rsid w:val="0053388B"/>
    <w:rsid w:val="00535773"/>
    <w:rsid w:val="00543E6C"/>
    <w:rsid w:val="00564A7A"/>
    <w:rsid w:val="00565087"/>
    <w:rsid w:val="00572E14"/>
    <w:rsid w:val="005973BE"/>
    <w:rsid w:val="005A5986"/>
    <w:rsid w:val="005B0263"/>
    <w:rsid w:val="005D078E"/>
    <w:rsid w:val="005D2E01"/>
    <w:rsid w:val="005D7526"/>
    <w:rsid w:val="005E69AE"/>
    <w:rsid w:val="00602AEA"/>
    <w:rsid w:val="006047CB"/>
    <w:rsid w:val="00607E3C"/>
    <w:rsid w:val="00614FDF"/>
    <w:rsid w:val="006246A7"/>
    <w:rsid w:val="0062595A"/>
    <w:rsid w:val="0063543D"/>
    <w:rsid w:val="00647114"/>
    <w:rsid w:val="0065154B"/>
    <w:rsid w:val="00667B04"/>
    <w:rsid w:val="006973C9"/>
    <w:rsid w:val="006A323F"/>
    <w:rsid w:val="006B30D0"/>
    <w:rsid w:val="006C3D95"/>
    <w:rsid w:val="006C6CEF"/>
    <w:rsid w:val="006E5C86"/>
    <w:rsid w:val="00713C44"/>
    <w:rsid w:val="00714EA5"/>
    <w:rsid w:val="00734A5B"/>
    <w:rsid w:val="0074026F"/>
    <w:rsid w:val="007429F6"/>
    <w:rsid w:val="00744E76"/>
    <w:rsid w:val="007504E2"/>
    <w:rsid w:val="00752198"/>
    <w:rsid w:val="00753881"/>
    <w:rsid w:val="00762811"/>
    <w:rsid w:val="00774DA4"/>
    <w:rsid w:val="00781F0F"/>
    <w:rsid w:val="007A2935"/>
    <w:rsid w:val="007B1606"/>
    <w:rsid w:val="007B247B"/>
    <w:rsid w:val="007B600E"/>
    <w:rsid w:val="007B670C"/>
    <w:rsid w:val="007D7531"/>
    <w:rsid w:val="007E358E"/>
    <w:rsid w:val="007F0F4A"/>
    <w:rsid w:val="008028A4"/>
    <w:rsid w:val="00820B25"/>
    <w:rsid w:val="00830747"/>
    <w:rsid w:val="008768CA"/>
    <w:rsid w:val="00892A97"/>
    <w:rsid w:val="008B3566"/>
    <w:rsid w:val="008C384C"/>
    <w:rsid w:val="008E7986"/>
    <w:rsid w:val="008F5D65"/>
    <w:rsid w:val="00900119"/>
    <w:rsid w:val="0090271F"/>
    <w:rsid w:val="00902E23"/>
    <w:rsid w:val="00910CDE"/>
    <w:rsid w:val="009114D7"/>
    <w:rsid w:val="0091348E"/>
    <w:rsid w:val="00917CCB"/>
    <w:rsid w:val="00930E92"/>
    <w:rsid w:val="00942EC2"/>
    <w:rsid w:val="009B1790"/>
    <w:rsid w:val="009B5D22"/>
    <w:rsid w:val="009F37B7"/>
    <w:rsid w:val="009F5E43"/>
    <w:rsid w:val="009F6942"/>
    <w:rsid w:val="00A10F02"/>
    <w:rsid w:val="00A1288A"/>
    <w:rsid w:val="00A164B4"/>
    <w:rsid w:val="00A26956"/>
    <w:rsid w:val="00A35167"/>
    <w:rsid w:val="00A53724"/>
    <w:rsid w:val="00A61086"/>
    <w:rsid w:val="00A73129"/>
    <w:rsid w:val="00A82346"/>
    <w:rsid w:val="00A92BA1"/>
    <w:rsid w:val="00AA25B9"/>
    <w:rsid w:val="00AB702D"/>
    <w:rsid w:val="00AC6BC6"/>
    <w:rsid w:val="00AE3797"/>
    <w:rsid w:val="00B02A63"/>
    <w:rsid w:val="00B070F5"/>
    <w:rsid w:val="00B1491E"/>
    <w:rsid w:val="00B15449"/>
    <w:rsid w:val="00B407FA"/>
    <w:rsid w:val="00B45A10"/>
    <w:rsid w:val="00B57BD6"/>
    <w:rsid w:val="00B60EF4"/>
    <w:rsid w:val="00B93086"/>
    <w:rsid w:val="00B96E14"/>
    <w:rsid w:val="00BA19ED"/>
    <w:rsid w:val="00BA300B"/>
    <w:rsid w:val="00BA4B8D"/>
    <w:rsid w:val="00BC0F7D"/>
    <w:rsid w:val="00BD703A"/>
    <w:rsid w:val="00BE3255"/>
    <w:rsid w:val="00BF128E"/>
    <w:rsid w:val="00C1496A"/>
    <w:rsid w:val="00C24043"/>
    <w:rsid w:val="00C33079"/>
    <w:rsid w:val="00C36C3C"/>
    <w:rsid w:val="00C40AE9"/>
    <w:rsid w:val="00C45231"/>
    <w:rsid w:val="00C72833"/>
    <w:rsid w:val="00C80F1D"/>
    <w:rsid w:val="00C93F40"/>
    <w:rsid w:val="00C95C80"/>
    <w:rsid w:val="00CA0623"/>
    <w:rsid w:val="00CA3D0C"/>
    <w:rsid w:val="00CA76D3"/>
    <w:rsid w:val="00CD651B"/>
    <w:rsid w:val="00CF20E3"/>
    <w:rsid w:val="00CF2841"/>
    <w:rsid w:val="00D27EF9"/>
    <w:rsid w:val="00D309CC"/>
    <w:rsid w:val="00D326E6"/>
    <w:rsid w:val="00D3306F"/>
    <w:rsid w:val="00D46431"/>
    <w:rsid w:val="00D56A52"/>
    <w:rsid w:val="00D57972"/>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6189"/>
    <w:rsid w:val="00DF62CD"/>
    <w:rsid w:val="00E16509"/>
    <w:rsid w:val="00E2539D"/>
    <w:rsid w:val="00E44582"/>
    <w:rsid w:val="00E52814"/>
    <w:rsid w:val="00E72324"/>
    <w:rsid w:val="00E72ABE"/>
    <w:rsid w:val="00E77645"/>
    <w:rsid w:val="00E84623"/>
    <w:rsid w:val="00E85B4F"/>
    <w:rsid w:val="00EC4A25"/>
    <w:rsid w:val="00EE5AA7"/>
    <w:rsid w:val="00EF3FEB"/>
    <w:rsid w:val="00F025A2"/>
    <w:rsid w:val="00F04712"/>
    <w:rsid w:val="00F10FE8"/>
    <w:rsid w:val="00F21311"/>
    <w:rsid w:val="00F22EC7"/>
    <w:rsid w:val="00F325C8"/>
    <w:rsid w:val="00F62AEB"/>
    <w:rsid w:val="00F653B8"/>
    <w:rsid w:val="00F70647"/>
    <w:rsid w:val="00F8596B"/>
    <w:rsid w:val="00FA1266"/>
    <w:rsid w:val="00FA41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3D3BA-D54A-534F-8268-C8DDDD00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5</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22</cp:revision>
  <cp:lastPrinted>2019-02-25T14:05:00Z</cp:lastPrinted>
  <dcterms:created xsi:type="dcterms:W3CDTF">2019-11-04T17:51:00Z</dcterms:created>
  <dcterms:modified xsi:type="dcterms:W3CDTF">2020-02-14T14:43:00Z</dcterms:modified>
  <cp:category/>
</cp:coreProperties>
</file>